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CBCE4">
      <w:pPr>
        <w:jc w:val="center"/>
        <w:outlineLvl w:val="0"/>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olor w:val="auto"/>
          <w:sz w:val="36"/>
          <w:lang w:val="zh-CN"/>
        </w:rPr>
        <w:t>华宁县农业科学技术服务中心</w:t>
      </w:r>
      <w:r>
        <w:rPr>
          <w:rFonts w:hint="eastAsia" w:ascii="Times New Roman" w:hAnsi="Times New Roman" w:eastAsia="方正小标宋简体" w:cs="方正小标宋简体"/>
          <w:color w:val="auto"/>
          <w:sz w:val="36"/>
          <w:szCs w:val="36"/>
          <w:highlight w:val="none"/>
          <w:lang w:val="en-US" w:eastAsia="zh-CN"/>
        </w:rPr>
        <w:t>2025年度</w:t>
      </w:r>
      <w:r>
        <w:rPr>
          <w:rFonts w:hint="eastAsia" w:ascii="Times New Roman" w:hAnsi="Times New Roman" w:eastAsia="方正小标宋简体" w:cs="方正小标宋简体"/>
          <w:color w:val="auto"/>
          <w:sz w:val="36"/>
          <w:szCs w:val="36"/>
          <w:highlight w:val="none"/>
        </w:rPr>
        <w:t>部门决算</w:t>
      </w:r>
    </w:p>
    <w:p w14:paraId="29036CE6">
      <w:pPr>
        <w:jc w:val="center"/>
        <w:rPr>
          <w:rFonts w:hint="eastAsia" w:ascii="Times New Roman" w:hAnsi="Times New Roman" w:eastAsia="方正小标宋简体" w:cs="方正小标宋简体"/>
          <w:color w:val="auto"/>
          <w:sz w:val="36"/>
          <w:szCs w:val="36"/>
          <w:highlight w:val="none"/>
        </w:rPr>
      </w:pPr>
    </w:p>
    <w:p w14:paraId="0491D789">
      <w:pPr>
        <w:jc w:val="center"/>
        <w:outlineLvl w:val="0"/>
        <w:rPr>
          <w:rFonts w:hint="eastAsia" w:ascii="Times New Roman" w:hAnsi="Times New Roman" w:eastAsia="方正小标宋简体" w:cs="方正小标宋简体"/>
          <w:color w:val="auto"/>
          <w:sz w:val="36"/>
          <w:szCs w:val="36"/>
          <w:highlight w:val="none"/>
          <w:lang w:eastAsia="zh-CN"/>
        </w:rPr>
      </w:pPr>
      <w:r>
        <w:rPr>
          <w:rFonts w:hint="eastAsia" w:ascii="Times New Roman" w:hAnsi="Times New Roman" w:eastAsia="方正小标宋简体" w:cs="方正小标宋简体"/>
          <w:color w:val="auto"/>
          <w:sz w:val="36"/>
          <w:szCs w:val="36"/>
          <w:highlight w:val="none"/>
          <w:lang w:eastAsia="zh-CN"/>
        </w:rPr>
        <w:t>目录</w:t>
      </w:r>
    </w:p>
    <w:p w14:paraId="1B03E7CD">
      <w:pPr>
        <w:jc w:val="left"/>
        <w:rPr>
          <w:rFonts w:hint="eastAsia" w:ascii="Times New Roman" w:hAnsi="Times New Roman" w:eastAsia="黑体"/>
          <w:color w:val="auto"/>
          <w:sz w:val="30"/>
          <w:szCs w:val="30"/>
          <w:highlight w:val="none"/>
        </w:rPr>
      </w:pPr>
    </w:p>
    <w:p w14:paraId="67776C8D">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第一部分  </w:t>
      </w:r>
      <w:r>
        <w:rPr>
          <w:rFonts w:hint="eastAsia" w:ascii="Times New Roman" w:hAnsi="Times New Roman" w:eastAsia="黑体"/>
          <w:color w:val="auto"/>
          <w:sz w:val="30"/>
          <w:szCs w:val="30"/>
          <w:highlight w:val="none"/>
          <w:lang w:eastAsia="zh-CN"/>
        </w:rPr>
        <w:t>单位</w:t>
      </w:r>
      <w:r>
        <w:rPr>
          <w:rFonts w:hint="eastAsia" w:ascii="Times New Roman" w:hAnsi="Times New Roman" w:eastAsia="黑体"/>
          <w:color w:val="auto"/>
          <w:sz w:val="30"/>
          <w:szCs w:val="30"/>
          <w:highlight w:val="none"/>
        </w:rPr>
        <w:t>概况</w:t>
      </w:r>
    </w:p>
    <w:p w14:paraId="7079E74A">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一、主要职</w:t>
      </w:r>
      <w:r>
        <w:rPr>
          <w:rFonts w:hint="eastAsia" w:ascii="Times New Roman" w:hAnsi="Times New Roman" w:eastAsia="楷体"/>
          <w:color w:val="auto"/>
          <w:sz w:val="30"/>
          <w:szCs w:val="30"/>
          <w:highlight w:val="none"/>
          <w:lang w:eastAsia="zh-CN"/>
        </w:rPr>
        <w:t>责</w:t>
      </w:r>
    </w:p>
    <w:p w14:paraId="1A8BE228">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二、</w:t>
      </w:r>
      <w:r>
        <w:rPr>
          <w:rFonts w:hint="eastAsia" w:ascii="Times New Roman" w:hAnsi="Times New Roman" w:eastAsia="楷体"/>
          <w:color w:val="auto"/>
          <w:sz w:val="30"/>
          <w:szCs w:val="30"/>
          <w:highlight w:val="none"/>
          <w:lang w:eastAsia="zh-CN"/>
        </w:rPr>
        <w:t>基本情况</w:t>
      </w:r>
    </w:p>
    <w:p w14:paraId="6040C4DE">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三、重点工作概述</w:t>
      </w:r>
    </w:p>
    <w:p w14:paraId="250F9F92">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第二部分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部门决算表</w:t>
      </w:r>
    </w:p>
    <w:p w14:paraId="51DE48DE">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一、收入支出决算表</w:t>
      </w:r>
    </w:p>
    <w:p w14:paraId="52BB5D7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二、收入决算表</w:t>
      </w:r>
    </w:p>
    <w:p w14:paraId="14051BC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三、支出决算表</w:t>
      </w:r>
    </w:p>
    <w:p w14:paraId="364953EB">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四、财政拨款收入支出决算表</w:t>
      </w:r>
    </w:p>
    <w:p w14:paraId="49225861">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五、一般公共预算财政拨款收入支出决算表</w:t>
      </w:r>
    </w:p>
    <w:p w14:paraId="48BF5811">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六、一般公共预算财政拨款基本支出决算表</w:t>
      </w:r>
    </w:p>
    <w:p w14:paraId="47CE616C">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七、</w:t>
      </w:r>
      <w:r>
        <w:rPr>
          <w:rFonts w:hint="eastAsia" w:ascii="Times New Roman" w:hAnsi="Times New Roman" w:eastAsia="楷体"/>
          <w:color w:val="auto"/>
          <w:sz w:val="30"/>
          <w:szCs w:val="30"/>
          <w:highlight w:val="none"/>
          <w:lang w:eastAsia="zh-CN"/>
        </w:rPr>
        <w:t>一般公共预算财政拨款项目支出决算表</w:t>
      </w:r>
    </w:p>
    <w:p w14:paraId="30AB8125">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八</w:t>
      </w:r>
      <w:r>
        <w:rPr>
          <w:rFonts w:hint="eastAsia" w:ascii="Times New Roman" w:hAnsi="Times New Roman" w:eastAsia="楷体"/>
          <w:color w:val="auto"/>
          <w:sz w:val="30"/>
          <w:szCs w:val="30"/>
          <w:highlight w:val="none"/>
        </w:rPr>
        <w:t>、政府性基金预算财政拨款收入支出决算表</w:t>
      </w:r>
    </w:p>
    <w:p w14:paraId="55E6929C">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九、国有资本经营预算财政拨款收入支出决算表</w:t>
      </w:r>
    </w:p>
    <w:p w14:paraId="2AD60ED8">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十</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财政拨款</w:t>
      </w:r>
      <w:r>
        <w:rPr>
          <w:rFonts w:hint="eastAsia" w:ascii="Times New Roman" w:hAnsi="Times New Roman" w:eastAsia="楷体"/>
          <w:color w:val="auto"/>
          <w:sz w:val="30"/>
          <w:szCs w:val="30"/>
          <w:highlight w:val="none"/>
        </w:rPr>
        <w:t>“三公”经费、行政参公单位机关运行经费情况表</w:t>
      </w:r>
    </w:p>
    <w:p w14:paraId="1402E390">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val="en-US" w:eastAsia="zh-CN"/>
        </w:rPr>
        <w:t>十一、一般公共预算财政拨款“三公”经费情况表</w:t>
      </w:r>
    </w:p>
    <w:p w14:paraId="7008D0BC">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第三部</w:t>
      </w:r>
      <w:r>
        <w:rPr>
          <w:rFonts w:hint="eastAsia" w:ascii="Times New Roman" w:hAnsi="Times New Roman" w:eastAsia="黑体"/>
          <w:color w:val="auto"/>
          <w:sz w:val="30"/>
          <w:szCs w:val="30"/>
          <w:highlight w:val="none"/>
          <w:lang w:eastAsia="zh-CN"/>
        </w:rPr>
        <w:t>分</w:t>
      </w:r>
      <w:r>
        <w:rPr>
          <w:rFonts w:hint="eastAsia" w:ascii="Times New Roman" w:hAnsi="Times New Roman" w:eastAsia="黑体"/>
          <w:color w:val="auto"/>
          <w:sz w:val="30"/>
          <w:szCs w:val="30"/>
          <w:highlight w:val="none"/>
        </w:rPr>
        <w:t xml:space="preserve">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部门决算情况说明</w:t>
      </w:r>
    </w:p>
    <w:p w14:paraId="14C35F0A">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一、收入决算情况说明</w:t>
      </w:r>
    </w:p>
    <w:p w14:paraId="62C10A16">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二、支出决算情况说明</w:t>
      </w:r>
    </w:p>
    <w:p w14:paraId="6BB0A46B">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三、一般公共预算财政拨款支出决算情况说明</w:t>
      </w:r>
    </w:p>
    <w:p w14:paraId="2EC5CFA9">
      <w:pPr>
        <w:widowControl/>
        <w:snapToGrid w:val="0"/>
        <w:spacing w:before="100" w:after="100" w:line="360" w:lineRule="auto"/>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四、财政拨款“三公”经费支出决算情况说明</w:t>
      </w:r>
    </w:p>
    <w:p w14:paraId="369D022A">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lang w:eastAsia="zh-CN"/>
        </w:rPr>
        <w:t>第四部分</w:t>
      </w:r>
      <w:r>
        <w:rPr>
          <w:rFonts w:hint="eastAsia" w:ascii="Times New Roman" w:hAnsi="Times New Roman" w:eastAsia="楷体"/>
          <w:color w:val="auto"/>
          <w:sz w:val="30"/>
          <w:szCs w:val="30"/>
          <w:highlight w:val="none"/>
          <w:lang w:val="en-US" w:eastAsia="zh-CN"/>
        </w:rPr>
        <w:t xml:space="preserve">  </w:t>
      </w:r>
      <w:r>
        <w:rPr>
          <w:rFonts w:hint="eastAsia" w:ascii="Times New Roman" w:hAnsi="Times New Roman" w:eastAsia="黑体"/>
          <w:color w:val="auto"/>
          <w:sz w:val="30"/>
          <w:szCs w:val="30"/>
          <w:highlight w:val="none"/>
        </w:rPr>
        <w:t>其他重要事项及相关口径情况说明</w:t>
      </w:r>
    </w:p>
    <w:p w14:paraId="4E51D3C2">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一、</w:t>
      </w:r>
      <w:r>
        <w:rPr>
          <w:rFonts w:hint="eastAsia" w:ascii="Times New Roman" w:hAnsi="Times New Roman" w:eastAsia="楷体"/>
          <w:color w:val="auto"/>
          <w:sz w:val="30"/>
          <w:szCs w:val="30"/>
          <w:highlight w:val="none"/>
        </w:rPr>
        <w:t>机关运行经费支出情况</w:t>
      </w:r>
    </w:p>
    <w:p w14:paraId="77568D50">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国有资产占用情况</w:t>
      </w:r>
    </w:p>
    <w:p w14:paraId="7AC38A88">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政府采购支出情况</w:t>
      </w:r>
    </w:p>
    <w:p w14:paraId="6B0A13B3">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四、</w:t>
      </w:r>
      <w:r>
        <w:rPr>
          <w:rFonts w:hint="eastAsia" w:ascii="Times New Roman" w:hAnsi="Times New Roman" w:eastAsia="楷体"/>
          <w:color w:val="auto"/>
          <w:sz w:val="30"/>
          <w:szCs w:val="30"/>
          <w:highlight w:val="none"/>
          <w:lang w:val="en-US" w:eastAsia="zh-CN"/>
        </w:rPr>
        <w:t>单位绩效自评情况</w:t>
      </w:r>
    </w:p>
    <w:p w14:paraId="715D1DF8">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五、</w:t>
      </w:r>
      <w:r>
        <w:rPr>
          <w:rFonts w:hint="eastAsia" w:ascii="Times New Roman" w:hAnsi="Times New Roman" w:eastAsia="楷体"/>
          <w:color w:val="auto"/>
          <w:sz w:val="30"/>
          <w:szCs w:val="30"/>
          <w:highlight w:val="none"/>
          <w:lang w:val="en-US" w:eastAsia="zh-CN"/>
        </w:rPr>
        <w:t>其他重要事项情况说明</w:t>
      </w:r>
    </w:p>
    <w:p w14:paraId="636831D6">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六、相关口径说明</w:t>
      </w:r>
    </w:p>
    <w:p w14:paraId="533760A1">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w:t>
      </w:r>
      <w:r>
        <w:rPr>
          <w:rFonts w:hint="eastAsia" w:ascii="Times New Roman" w:hAnsi="Times New Roman" w:eastAsia="黑体"/>
          <w:color w:val="auto"/>
          <w:sz w:val="30"/>
          <w:szCs w:val="30"/>
          <w:highlight w:val="none"/>
          <w:lang w:eastAsia="zh-CN"/>
        </w:rPr>
        <w:t>五</w:t>
      </w:r>
      <w:r>
        <w:rPr>
          <w:rFonts w:hint="eastAsia" w:ascii="Times New Roman" w:hAnsi="Times New Roman" w:eastAsia="黑体"/>
          <w:color w:val="auto"/>
          <w:sz w:val="30"/>
          <w:szCs w:val="30"/>
          <w:highlight w:val="none"/>
        </w:rPr>
        <w:t>部分  名词解释</w:t>
      </w:r>
    </w:p>
    <w:p w14:paraId="4A0E7C12">
      <w:pPr>
        <w:jc w:val="center"/>
        <w:rPr>
          <w:rFonts w:hint="eastAsia" w:ascii="Times New Roman" w:hAnsi="Times New Roman" w:eastAsia="黑体"/>
          <w:color w:val="auto"/>
          <w:sz w:val="32"/>
          <w:szCs w:val="32"/>
          <w:highlight w:val="none"/>
        </w:rPr>
      </w:pPr>
    </w:p>
    <w:p w14:paraId="755ABC87">
      <w:pPr>
        <w:jc w:val="center"/>
        <w:rPr>
          <w:rFonts w:hint="eastAsia" w:ascii="Times New Roman" w:hAnsi="Times New Roman" w:eastAsia="黑体"/>
          <w:color w:val="auto"/>
          <w:sz w:val="32"/>
          <w:szCs w:val="32"/>
          <w:highlight w:val="none"/>
        </w:rPr>
      </w:pPr>
    </w:p>
    <w:p w14:paraId="6F1979A4">
      <w:pPr>
        <w:jc w:val="center"/>
        <w:rPr>
          <w:rFonts w:hint="eastAsia" w:ascii="Times New Roman" w:hAnsi="Times New Roman" w:eastAsia="黑体"/>
          <w:color w:val="auto"/>
          <w:sz w:val="32"/>
          <w:szCs w:val="32"/>
          <w:highlight w:val="none"/>
        </w:rPr>
      </w:pPr>
    </w:p>
    <w:p w14:paraId="475E43F8">
      <w:pPr>
        <w:jc w:val="center"/>
        <w:rPr>
          <w:rFonts w:hint="eastAsia" w:ascii="Times New Roman" w:hAnsi="Times New Roman" w:eastAsia="黑体"/>
          <w:color w:val="auto"/>
          <w:sz w:val="32"/>
          <w:szCs w:val="32"/>
          <w:highlight w:val="none"/>
        </w:rPr>
      </w:pPr>
    </w:p>
    <w:p w14:paraId="6E4F110E">
      <w:pPr>
        <w:jc w:val="center"/>
        <w:rPr>
          <w:rFonts w:hint="eastAsia" w:ascii="Times New Roman" w:hAnsi="Times New Roman" w:eastAsia="黑体"/>
          <w:color w:val="auto"/>
          <w:sz w:val="32"/>
          <w:szCs w:val="32"/>
          <w:highlight w:val="none"/>
        </w:rPr>
      </w:pPr>
    </w:p>
    <w:p w14:paraId="5616785B">
      <w:pPr>
        <w:jc w:val="center"/>
        <w:rPr>
          <w:rFonts w:hint="eastAsia" w:ascii="Times New Roman" w:hAnsi="Times New Roman" w:eastAsia="黑体"/>
          <w:color w:val="auto"/>
          <w:sz w:val="32"/>
          <w:szCs w:val="32"/>
          <w:highlight w:val="none"/>
        </w:rPr>
      </w:pPr>
    </w:p>
    <w:p w14:paraId="383162D2">
      <w:pPr>
        <w:jc w:val="center"/>
        <w:rPr>
          <w:rFonts w:hint="eastAsia" w:ascii="Times New Roman" w:hAnsi="Times New Roman" w:eastAsia="黑体"/>
          <w:color w:val="auto"/>
          <w:sz w:val="32"/>
          <w:szCs w:val="32"/>
          <w:highlight w:val="none"/>
        </w:rPr>
      </w:pPr>
    </w:p>
    <w:p w14:paraId="4478B0DF">
      <w:pPr>
        <w:jc w:val="both"/>
        <w:rPr>
          <w:rFonts w:hint="eastAsia" w:ascii="Times New Roman" w:hAnsi="Times New Roman" w:eastAsia="黑体"/>
          <w:color w:val="auto"/>
          <w:sz w:val="32"/>
          <w:szCs w:val="32"/>
          <w:highlight w:val="none"/>
        </w:rPr>
      </w:pPr>
    </w:p>
    <w:p w14:paraId="528B35E8">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第一部分  </w:t>
      </w:r>
      <w:r>
        <w:rPr>
          <w:rFonts w:hint="eastAsia" w:ascii="Times New Roman" w:hAnsi="Times New Roman" w:eastAsia="黑体"/>
          <w:color w:val="auto"/>
          <w:sz w:val="32"/>
          <w:szCs w:val="32"/>
          <w:highlight w:val="none"/>
          <w:lang w:eastAsia="zh-CN"/>
        </w:rPr>
        <w:t>单位</w:t>
      </w:r>
      <w:r>
        <w:rPr>
          <w:rFonts w:hint="eastAsia" w:ascii="Times New Roman" w:hAnsi="Times New Roman" w:eastAsia="黑体"/>
          <w:color w:val="auto"/>
          <w:sz w:val="32"/>
          <w:szCs w:val="32"/>
          <w:highlight w:val="none"/>
        </w:rPr>
        <w:t>概况</w:t>
      </w:r>
    </w:p>
    <w:p w14:paraId="088D791E">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rPr>
        <w:t>一、主要</w:t>
      </w:r>
      <w:r>
        <w:rPr>
          <w:rFonts w:hint="eastAsia" w:ascii="Times New Roman" w:hAnsi="Times New Roman" w:eastAsia="黑体"/>
          <w:color w:val="auto"/>
          <w:sz w:val="30"/>
          <w:szCs w:val="30"/>
          <w:highlight w:val="none"/>
          <w:lang w:eastAsia="zh-CN"/>
        </w:rPr>
        <w:t>职责</w:t>
      </w:r>
    </w:p>
    <w:p w14:paraId="71C08F9B">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负责拟订全县农作物的技术推广计划和生产技术规范，参与指导全县农作物种植结构和布局的调整;承担全县农作物新品种、新产品、新技术、新物资、新方法、新设备的试验,示范、推广;承担种植业技术指导、培训;承担种植业科技推广项目的实施;做好制种基地和转基因农作物品种技术指导;负责植物检疫检验，承担农作物病虫草鼠害、农作物种质资源、农业有害生物的监测、预测预报、预警、普查、控制及绿色防控，负责农药器械安全使用管理;为肥料农药质量监督检查提供技术支撑;负责农作物种子生产经营备案、质量抽检、种子储备、展示评价、种子统计等服务工作;做好土壤改良、培肥、治理修复等技术服务;负责耕地质量调查、监测、评价、保护工作;负责农田建设等农田基础设施工程项目的实施与技术指导服务;配合做好永久基本农田保护工作;完成县农业农村局交办的其他工作任务。</w:t>
      </w:r>
    </w:p>
    <w:p w14:paraId="166353A5">
      <w:pPr>
        <w:spacing w:line="600" w:lineRule="exact"/>
        <w:ind w:firstLine="600" w:firstLineChars="200"/>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二、基本情况</w:t>
      </w:r>
    </w:p>
    <w:p w14:paraId="3519B66E">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（一）机构设置情况</w:t>
      </w:r>
    </w:p>
    <w:p w14:paraId="57A175A1">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我单位共设置0个内设机构。</w:t>
      </w:r>
    </w:p>
    <w:p w14:paraId="266ADE13">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我单位为基层预算单位，无下属单位。</w:t>
      </w:r>
    </w:p>
    <w:p w14:paraId="7897427B">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决算单位构成</w:t>
      </w:r>
    </w:p>
    <w:p w14:paraId="6D3A79C9">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eastAsia="zh-CN"/>
        </w:rPr>
        <w:t>我单位作为华宁县农业农村局</w:t>
      </w:r>
      <w:r>
        <w:rPr>
          <w:rFonts w:hint="eastAsia" w:ascii="Times New Roman" w:hAnsi="Times New Roman" w:eastAsia="仿宋_GB2312"/>
          <w:color w:val="auto"/>
          <w:sz w:val="30"/>
          <w:szCs w:val="30"/>
          <w:highlight w:val="none"/>
          <w:lang w:val="en-US" w:eastAsia="zh-CN"/>
        </w:rPr>
        <w:t>的</w:t>
      </w:r>
      <w:r>
        <w:rPr>
          <w:rFonts w:hint="eastAsia" w:ascii="Times New Roman" w:hAnsi="Times New Roman" w:eastAsia="仿宋_GB2312"/>
          <w:color w:val="auto"/>
          <w:sz w:val="30"/>
          <w:szCs w:val="30"/>
          <w:highlight w:val="none"/>
          <w:lang w:eastAsia="zh-CN"/>
        </w:rPr>
        <w:t>二级预算单位</w:t>
      </w:r>
      <w:r>
        <w:rPr>
          <w:rFonts w:hint="eastAsia" w:ascii="Times New Roman" w:hAnsi="Times New Roman" w:eastAsia="仿宋_GB2312"/>
          <w:color w:val="auto"/>
          <w:sz w:val="30"/>
          <w:szCs w:val="30"/>
          <w:highlight w:val="none"/>
        </w:rPr>
        <w:t>纳入</w:t>
      </w:r>
      <w:r>
        <w:rPr>
          <w:rFonts w:hint="eastAsia" w:ascii="Times New Roman" w:hAnsi="Times New Roman" w:eastAsia="仿宋_GB2312" w:cs="Times New Roman"/>
          <w:color w:val="auto"/>
          <w:sz w:val="30"/>
          <w:szCs w:val="30"/>
          <w:highlight w:val="none"/>
          <w:lang w:val="en-US" w:eastAsia="zh-CN"/>
        </w:rPr>
        <w:t>2025</w:t>
      </w:r>
      <w:r>
        <w:rPr>
          <w:rFonts w:hint="eastAsia" w:ascii="Times New Roman" w:hAnsi="Times New Roman" w:eastAsia="仿宋_GB2312"/>
          <w:color w:val="auto"/>
          <w:sz w:val="30"/>
          <w:szCs w:val="30"/>
          <w:highlight w:val="none"/>
        </w:rPr>
        <w:t>年度部门决算编报</w:t>
      </w:r>
      <w:r>
        <w:rPr>
          <w:rFonts w:hint="eastAsia" w:ascii="Times New Roman" w:hAnsi="Times New Roman" w:eastAsia="仿宋_GB2312"/>
          <w:color w:val="auto"/>
          <w:sz w:val="30"/>
          <w:szCs w:val="30"/>
          <w:highlight w:val="none"/>
          <w:lang w:eastAsia="zh-CN"/>
        </w:rPr>
        <w:t>范围</w:t>
      </w:r>
      <w:r>
        <w:rPr>
          <w:rFonts w:hint="eastAsia" w:ascii="Times New Roman" w:hAnsi="Times New Roman" w:eastAsia="仿宋_GB2312"/>
          <w:color w:val="auto"/>
          <w:sz w:val="30"/>
          <w:szCs w:val="30"/>
          <w:highlight w:val="none"/>
        </w:rPr>
        <w:t>。</w:t>
      </w:r>
    </w:p>
    <w:p w14:paraId="3E01352E">
      <w:pPr>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单位</w:t>
      </w:r>
      <w:r>
        <w:rPr>
          <w:rFonts w:hint="eastAsia" w:ascii="Times New Roman" w:hAnsi="Times New Roman" w:eastAsia="楷体"/>
          <w:color w:val="auto"/>
          <w:sz w:val="30"/>
          <w:szCs w:val="30"/>
          <w:highlight w:val="none"/>
        </w:rPr>
        <w:t xml:space="preserve">人员和车辆的编制及实有情况 </w:t>
      </w:r>
    </w:p>
    <w:p w14:paraId="6250581F">
      <w:pPr>
        <w:spacing w:line="600" w:lineRule="exact"/>
        <w:ind w:firstLine="600" w:firstLineChars="200"/>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编制内</w:t>
      </w:r>
      <w:r>
        <w:rPr>
          <w:rFonts w:hint="eastAsia" w:ascii="Times New Roman" w:hAnsi="Times New Roman" w:eastAsia="仿宋_GB2312"/>
          <w:color w:val="auto"/>
          <w:sz w:val="30"/>
          <w:szCs w:val="30"/>
          <w:highlight w:val="none"/>
        </w:rPr>
        <w:t>实有人员</w:t>
      </w:r>
      <w:r>
        <w:rPr>
          <w:rFonts w:hint="eastAsia" w:ascii="Times New Roman" w:hAnsi="Times New Roman" w:eastAsia="仿宋_GB2312" w:cs="仿宋_GB2312"/>
          <w:color w:val="auto"/>
          <w:sz w:val="30"/>
          <w:szCs w:val="30"/>
          <w:lang w:val="en-US" w:eastAsia="zh-CN"/>
        </w:rPr>
        <w:t>28</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b w:val="0"/>
          <w:bCs w:val="0"/>
          <w:color w:val="auto"/>
          <w:kern w:val="0"/>
          <w:sz w:val="30"/>
          <w:szCs w:val="30"/>
          <w:highlight w:val="none"/>
          <w:lang w:eastAsia="zh-CN"/>
        </w:rPr>
        <w:t>包括</w:t>
      </w:r>
      <w:r>
        <w:rPr>
          <w:rFonts w:hint="eastAsia" w:ascii="Times New Roman" w:hAnsi="Times New Roman" w:eastAsia="仿宋_GB2312" w:cs="Arial"/>
          <w:color w:val="auto"/>
          <w:kern w:val="0"/>
          <w:sz w:val="30"/>
          <w:szCs w:val="30"/>
          <w:highlight w:val="none"/>
          <w:lang w:eastAsia="zh-CN"/>
        </w:rPr>
        <w:t>财政拨款开支经费的</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公务员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参照公务员法管理人员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事业管理人员和专业技术人员</w:t>
      </w:r>
      <w:r>
        <w:rPr>
          <w:rFonts w:hint="eastAsia" w:ascii="Times New Roman" w:hAnsi="Times New Roman" w:eastAsia="仿宋_GB2312" w:cs="仿宋_GB2312"/>
          <w:color w:val="auto"/>
          <w:sz w:val="30"/>
          <w:szCs w:val="30"/>
          <w:lang w:val="en-US" w:eastAsia="zh-CN"/>
        </w:rPr>
        <w:t>28</w:t>
      </w:r>
      <w:r>
        <w:rPr>
          <w:rFonts w:hint="eastAsia" w:ascii="Times New Roman" w:hAnsi="Times New Roman" w:eastAsia="仿宋_GB2312" w:cs="Arial"/>
          <w:color w:val="auto"/>
          <w:kern w:val="0"/>
          <w:sz w:val="30"/>
          <w:szCs w:val="30"/>
          <w:highlight w:val="none"/>
        </w:rPr>
        <w:t>人，机关和事业工人</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p>
    <w:p w14:paraId="010CDF66">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其他人员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val="en-US" w:eastAsia="zh-CN"/>
        </w:rPr>
        <w:t>人。包括财政拨款开支经费的人员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w:t>
      </w:r>
    </w:p>
    <w:p w14:paraId="44CBA1FB">
      <w:pPr>
        <w:spacing w:line="600" w:lineRule="exact"/>
        <w:ind w:firstLine="600" w:firstLineChars="200"/>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i w:val="0"/>
          <w:iCs w:val="0"/>
          <w:color w:val="auto"/>
          <w:kern w:val="0"/>
          <w:sz w:val="30"/>
          <w:szCs w:val="30"/>
          <w:highlight w:val="none"/>
          <w:lang w:eastAsia="zh-CN"/>
        </w:rPr>
        <w:t>年末单位发放离退休费的</w:t>
      </w:r>
      <w:r>
        <w:rPr>
          <w:rFonts w:hint="eastAsia" w:ascii="Times New Roman" w:hAnsi="Times New Roman" w:eastAsia="仿宋_GB2312" w:cs="Arial"/>
          <w:i w:val="0"/>
          <w:iCs w:val="0"/>
          <w:strike w:val="0"/>
          <w:dstrike w:val="0"/>
          <w:color w:val="auto"/>
          <w:kern w:val="0"/>
          <w:sz w:val="30"/>
          <w:szCs w:val="30"/>
          <w:highlight w:val="none"/>
        </w:rPr>
        <w:t>离</w:t>
      </w:r>
      <w:r>
        <w:rPr>
          <w:rFonts w:hint="eastAsia" w:ascii="Times New Roman" w:hAnsi="Times New Roman" w:eastAsia="仿宋_GB2312" w:cs="Arial"/>
          <w:i w:val="0"/>
          <w:iCs w:val="0"/>
          <w:color w:val="auto"/>
          <w:kern w:val="0"/>
          <w:sz w:val="30"/>
          <w:szCs w:val="30"/>
          <w:highlight w:val="none"/>
        </w:rPr>
        <w:t>退休人员</w:t>
      </w:r>
      <w:r>
        <w:rPr>
          <w:rFonts w:hint="eastAsia" w:ascii="Times New Roman" w:hAnsi="Times New Roman" w:eastAsia="仿宋_GB2312" w:cs="Arial"/>
          <w:i w:val="0"/>
          <w:iCs w:val="0"/>
          <w:color w:val="auto"/>
          <w:kern w:val="0"/>
          <w:sz w:val="30"/>
          <w:szCs w:val="30"/>
          <w:highlight w:val="none"/>
          <w:lang w:eastAsia="zh-CN"/>
        </w:rPr>
        <w:t>共计</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）。年末</w:t>
      </w:r>
      <w:r>
        <w:rPr>
          <w:rFonts w:hint="eastAsia" w:ascii="Times New Roman" w:hAnsi="Times New Roman" w:eastAsia="仿宋_GB2312" w:cs="Arial"/>
          <w:color w:val="auto"/>
          <w:kern w:val="0"/>
          <w:sz w:val="30"/>
          <w:szCs w:val="30"/>
          <w:highlight w:val="none"/>
        </w:rPr>
        <w:t>由养老保险基金发放养老金的离退休人员</w:t>
      </w:r>
      <w:r>
        <w:rPr>
          <w:rFonts w:hint="eastAsia" w:ascii="Times New Roman" w:hAnsi="Times New Roman" w:eastAsia="仿宋_GB2312" w:cs="仿宋_GB2312"/>
          <w:color w:val="auto"/>
          <w:sz w:val="30"/>
          <w:szCs w:val="30"/>
          <w:lang w:val="en-US" w:eastAsia="zh-CN"/>
        </w:rPr>
        <w:t>29</w:t>
      </w:r>
      <w:r>
        <w:rPr>
          <w:rFonts w:hint="eastAsia" w:ascii="Times New Roman" w:hAnsi="Times New Roman" w:eastAsia="仿宋_GB2312" w:cs="Arial"/>
          <w:color w:val="auto"/>
          <w:kern w:val="0"/>
          <w:sz w:val="30"/>
          <w:szCs w:val="30"/>
          <w:highlight w:val="none"/>
          <w:lang w:val="en-US" w:eastAsia="zh-CN"/>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29</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val="en-US" w:eastAsia="zh-CN"/>
        </w:rPr>
        <w:t>年末学生</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lang w:val="en-US" w:eastAsia="zh-CN"/>
        </w:rPr>
        <w:t>人。年末遗属</w:t>
      </w:r>
      <w:r>
        <w:rPr>
          <w:rFonts w:hint="eastAsia" w:ascii="Times New Roman" w:hAnsi="Times New Roman" w:eastAsia="仿宋_GB2312" w:cs="仿宋_GB2312"/>
          <w:color w:val="auto"/>
          <w:sz w:val="30"/>
          <w:szCs w:val="30"/>
          <w:lang w:val="en-US" w:eastAsia="zh-CN"/>
        </w:rPr>
        <w:t>2</w:t>
      </w:r>
      <w:r>
        <w:rPr>
          <w:rFonts w:hint="eastAsia" w:ascii="Times New Roman" w:hAnsi="Times New Roman" w:eastAsia="仿宋_GB2312" w:cs="Arial"/>
          <w:color w:val="auto"/>
          <w:kern w:val="0"/>
          <w:sz w:val="30"/>
          <w:szCs w:val="30"/>
          <w:highlight w:val="none"/>
          <w:lang w:val="en-US" w:eastAsia="zh-CN"/>
        </w:rPr>
        <w:t>人。</w:t>
      </w:r>
    </w:p>
    <w:p w14:paraId="17EAE8CF">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b w:val="0"/>
          <w:bCs w:val="0"/>
          <w:color w:val="auto"/>
          <w:sz w:val="30"/>
          <w:szCs w:val="30"/>
          <w:highlight w:val="none"/>
          <w:u w:val="none"/>
          <w:lang w:val="en-US" w:eastAsia="zh-CN"/>
        </w:rPr>
        <w:t>车辆编制0辆，在编实有车辆0辆。</w:t>
      </w:r>
    </w:p>
    <w:p w14:paraId="183C1525">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lang w:eastAsia="zh-CN"/>
        </w:rPr>
        <w:t>三、重点工作概述</w:t>
      </w:r>
    </w:p>
    <w:p w14:paraId="26B7391D">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（一）实施农业推广项目</w:t>
      </w:r>
      <w:r>
        <w:rPr>
          <w:rFonts w:hint="eastAsia" w:ascii="Times New Roman" w:hAnsi="Times New Roman" w:eastAsia="仿宋_GB2312" w:cs="Arial"/>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lang w:val="zh-CN" w:eastAsia="zh-CN"/>
        </w:rPr>
        <w:t>项</w:t>
      </w:r>
    </w:p>
    <w:p w14:paraId="50AE057B">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完成2024年玉溪市秋豌豆单产提升技术示范项目；完成2025年云南省华宁县优质鲜食玉米产业科技特派团项目；完成2025年玉溪市省级玉米绿色高质高效示范项目；完成2025年玉溪市玉米“三新”集成技术推广示范项目；实施2025年玉溪烟区粮烟协同研究与应用项目。</w:t>
      </w:r>
    </w:p>
    <w:p w14:paraId="38F3CB10">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（二）抓好作物新品种、新技术的试验示范推广</w:t>
      </w:r>
    </w:p>
    <w:p w14:paraId="1D134B47">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完成秋豌豆高效栽培技术集成试验5组。</w:t>
      </w:r>
      <w:r>
        <w:rPr>
          <w:rFonts w:hint="eastAsia" w:eastAsia="仿宋_GB2312" w:cs="Arial"/>
          <w:color w:val="auto"/>
          <w:kern w:val="0"/>
          <w:sz w:val="30"/>
          <w:szCs w:val="30"/>
          <w:highlight w:val="none"/>
          <w:lang w:val="en-US" w:eastAsia="zh-CN"/>
        </w:rPr>
        <w:t>完</w:t>
      </w:r>
      <w:r>
        <w:rPr>
          <w:rFonts w:hint="eastAsia" w:ascii="Times New Roman" w:hAnsi="Times New Roman" w:eastAsia="仿宋_GB2312" w:cs="Arial"/>
          <w:color w:val="auto"/>
          <w:kern w:val="0"/>
          <w:sz w:val="30"/>
          <w:szCs w:val="30"/>
          <w:highlight w:val="none"/>
          <w:lang w:val="zh-CN" w:eastAsia="zh-CN"/>
        </w:rPr>
        <w:t>成鲜食玉米新品种、新技术试验4组。完成饲料玉米新品种、新技术试验4组。</w:t>
      </w:r>
    </w:p>
    <w:p w14:paraId="3FF3F88E">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（三）开展202</w:t>
      </w:r>
      <w:r>
        <w:rPr>
          <w:rFonts w:hint="eastAsia" w:ascii="Times New Roman" w:hAnsi="Times New Roman" w:eastAsia="仿宋_GB2312" w:cs="Arial"/>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lang w:val="zh-CN" w:eastAsia="zh-CN"/>
        </w:rPr>
        <w:t>年杂草调查工作</w:t>
      </w:r>
    </w:p>
    <w:p w14:paraId="0F859447">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全县共调查田块数量</w:t>
      </w:r>
      <w:r>
        <w:rPr>
          <w:rFonts w:hint="eastAsia" w:ascii="Times New Roman" w:hAnsi="Times New Roman" w:eastAsia="仿宋_GB2312" w:cs="Arial"/>
          <w:color w:val="auto"/>
          <w:kern w:val="0"/>
          <w:sz w:val="30"/>
          <w:szCs w:val="30"/>
          <w:highlight w:val="none"/>
          <w:lang w:val="en-US" w:eastAsia="zh-CN"/>
        </w:rPr>
        <w:t>18</w:t>
      </w:r>
      <w:r>
        <w:rPr>
          <w:rFonts w:hint="eastAsia" w:ascii="Times New Roman" w:hAnsi="Times New Roman" w:eastAsia="仿宋_GB2312" w:cs="Arial"/>
          <w:color w:val="auto"/>
          <w:kern w:val="0"/>
          <w:sz w:val="30"/>
          <w:szCs w:val="30"/>
          <w:highlight w:val="none"/>
          <w:lang w:val="zh-CN" w:eastAsia="zh-CN"/>
        </w:rPr>
        <w:t>个、样点数量</w:t>
      </w:r>
      <w:r>
        <w:rPr>
          <w:rFonts w:hint="eastAsia" w:ascii="Times New Roman" w:hAnsi="Times New Roman" w:eastAsia="仿宋_GB2312" w:cs="Arial"/>
          <w:color w:val="auto"/>
          <w:kern w:val="0"/>
          <w:sz w:val="30"/>
          <w:szCs w:val="30"/>
          <w:highlight w:val="none"/>
          <w:lang w:val="en-US" w:eastAsia="zh-CN"/>
        </w:rPr>
        <w:t>90</w:t>
      </w:r>
      <w:r>
        <w:rPr>
          <w:rFonts w:hint="eastAsia" w:ascii="Times New Roman" w:hAnsi="Times New Roman" w:eastAsia="仿宋_GB2312" w:cs="Arial"/>
          <w:color w:val="auto"/>
          <w:kern w:val="0"/>
          <w:sz w:val="30"/>
          <w:szCs w:val="30"/>
          <w:highlight w:val="none"/>
          <w:lang w:val="zh-CN" w:eastAsia="zh-CN"/>
        </w:rPr>
        <w:t>个。已完成杂草调查工作并形成总结上报。</w:t>
      </w:r>
    </w:p>
    <w:p w14:paraId="5B77A141">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（四）做好经果产业的数据统计上报</w:t>
      </w:r>
    </w:p>
    <w:p w14:paraId="7EE3A567">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zh-CN" w:eastAsia="zh-CN"/>
        </w:rPr>
        <w:t>对柑桔、柿子、草莓、蓝莓、火龙果等特色经果产业的生产、经营、销售等数据的按期统计上报。</w:t>
      </w:r>
    </w:p>
    <w:p w14:paraId="6F5A0C06">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（五）主要农作物病虫害发生防控情况。</w:t>
      </w:r>
    </w:p>
    <w:p w14:paraId="68DD578D">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设置主要病虫害固定虫情监测点5个，全县共开展绿色防控面积61</w:t>
      </w:r>
      <w:r>
        <w:rPr>
          <w:rFonts w:hint="eastAsia" w:eastAsia="仿宋_GB2312" w:cs="Arial"/>
          <w:color w:val="auto"/>
          <w:kern w:val="0"/>
          <w:sz w:val="30"/>
          <w:szCs w:val="30"/>
          <w:highlight w:val="none"/>
          <w:lang w:val="en-US" w:eastAsia="zh-CN"/>
        </w:rPr>
        <w:t>8200.00</w:t>
      </w:r>
      <w:r>
        <w:rPr>
          <w:rFonts w:hint="eastAsia" w:ascii="Times New Roman" w:hAnsi="Times New Roman" w:eastAsia="仿宋_GB2312" w:cs="Arial"/>
          <w:color w:val="auto"/>
          <w:kern w:val="0"/>
          <w:sz w:val="30"/>
          <w:szCs w:val="30"/>
          <w:highlight w:val="none"/>
          <w:lang w:val="en-US" w:eastAsia="zh-CN"/>
        </w:rPr>
        <w:t>亩次。</w:t>
      </w:r>
    </w:p>
    <w:p w14:paraId="1376E993">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（六）植物检疫及外来物种防控工作</w:t>
      </w:r>
    </w:p>
    <w:p w14:paraId="298E886F">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做好种子及柑橘苗木检疫工作。开展植物检疫宣传活动培训3期，宣传培训人员440人次，发放红火蚁防控、植物检疫等宣传资料460份。</w:t>
      </w:r>
    </w:p>
    <w:p w14:paraId="651D7424">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（七）化肥减量化工作</w:t>
      </w:r>
    </w:p>
    <w:p w14:paraId="1557F8D5">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在全县开展农户施肥调查78户，已完成小春季节农户施肥调查69户调查及系统录入，建立耕地质量长期监测点16个。完成华宁县第三次全国土壤普查内业数据审核工作。完成第三次全国土壤普查表层样点1,512个、剖面样47个、水稳性大团聚体样159个样品数据审核工作</w:t>
      </w:r>
      <w:r>
        <w:rPr>
          <w:rFonts w:hint="eastAsia" w:eastAsia="仿宋_GB2312" w:cs="Arial"/>
          <w:color w:val="auto"/>
          <w:kern w:val="0"/>
          <w:sz w:val="30"/>
          <w:szCs w:val="30"/>
          <w:highlight w:val="none"/>
          <w:lang w:val="en-US" w:eastAsia="zh-CN"/>
        </w:rPr>
        <w:t>。</w:t>
      </w:r>
    </w:p>
    <w:p w14:paraId="3E504DA6">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（八）农药减量化工作</w:t>
      </w:r>
    </w:p>
    <w:p w14:paraId="1E08934E">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主要通过推广新农药、新器械、绿色防控、统防统治、科学安全用药培训等农药减量技术，实现科学合理用药，有效控制病虫害，在保障农业生产安全基础上，实现化学农药减量化目标。</w:t>
      </w:r>
    </w:p>
    <w:p w14:paraId="3E80B5E1">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（九）高标准农田建设工作</w:t>
      </w:r>
    </w:p>
    <w:p w14:paraId="49CE4683">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2025年1月完成2020华宁县高标准农田建设项目市级验收工作。2021年华宁县高标准农田建设项目，截至目前项目完成形象进度70.00%。</w:t>
      </w:r>
      <w:r>
        <w:rPr>
          <w:rFonts w:hint="eastAsia" w:ascii="Times New Roman" w:hAnsi="Times New Roman" w:eastAsia="仿宋_GB2312" w:cs="Arial"/>
          <w:color w:val="auto"/>
          <w:kern w:val="0"/>
          <w:sz w:val="30"/>
          <w:szCs w:val="30"/>
          <w:highlight w:val="none"/>
          <w:lang w:val="zh-CN" w:eastAsia="zh-CN"/>
        </w:rPr>
        <w:t>202</w:t>
      </w:r>
      <w:r>
        <w:rPr>
          <w:rFonts w:hint="eastAsia" w:ascii="Times New Roman" w:hAnsi="Times New Roman" w:eastAsia="仿宋_GB2312" w:cs="Arial"/>
          <w:color w:val="auto"/>
          <w:kern w:val="0"/>
          <w:sz w:val="30"/>
          <w:szCs w:val="30"/>
          <w:highlight w:val="none"/>
          <w:lang w:val="en-US" w:eastAsia="zh-CN"/>
        </w:rPr>
        <w:t>2</w:t>
      </w:r>
      <w:r>
        <w:rPr>
          <w:rFonts w:hint="eastAsia" w:ascii="Times New Roman" w:hAnsi="Times New Roman" w:eastAsia="仿宋_GB2312" w:cs="Arial"/>
          <w:color w:val="auto"/>
          <w:kern w:val="0"/>
          <w:sz w:val="30"/>
          <w:szCs w:val="30"/>
          <w:highlight w:val="none"/>
          <w:lang w:val="zh-CN" w:eastAsia="zh-CN"/>
        </w:rPr>
        <w:t>年华宁县宁州街道新庄、暮车、普左片区高标准农田建设项目，</w:t>
      </w:r>
      <w:r>
        <w:rPr>
          <w:rFonts w:hint="eastAsia" w:ascii="Times New Roman" w:hAnsi="Times New Roman" w:eastAsia="仿宋_GB2312" w:cs="Arial"/>
          <w:color w:val="auto"/>
          <w:kern w:val="0"/>
          <w:sz w:val="30"/>
          <w:szCs w:val="30"/>
          <w:highlight w:val="none"/>
          <w:lang w:val="en-US" w:eastAsia="zh-CN"/>
        </w:rPr>
        <w:t>截至目前项目完成形象进度45.00%；</w:t>
      </w:r>
      <w:r>
        <w:rPr>
          <w:rFonts w:hint="eastAsia" w:ascii="Times New Roman" w:hAnsi="Times New Roman" w:eastAsia="仿宋_GB2312" w:cs="Arial"/>
          <w:color w:val="auto"/>
          <w:kern w:val="0"/>
          <w:sz w:val="30"/>
          <w:szCs w:val="30"/>
          <w:highlight w:val="none"/>
          <w:lang w:val="zh-CN" w:eastAsia="zh-CN"/>
        </w:rPr>
        <w:t>202</w:t>
      </w:r>
      <w:r>
        <w:rPr>
          <w:rFonts w:hint="eastAsia" w:ascii="Times New Roman" w:hAnsi="Times New Roman" w:eastAsia="仿宋_GB2312" w:cs="Arial"/>
          <w:color w:val="auto"/>
          <w:kern w:val="0"/>
          <w:sz w:val="30"/>
          <w:szCs w:val="30"/>
          <w:highlight w:val="none"/>
          <w:lang w:val="en-US" w:eastAsia="zh-CN"/>
        </w:rPr>
        <w:t>2</w:t>
      </w:r>
      <w:r>
        <w:rPr>
          <w:rFonts w:hint="eastAsia" w:ascii="Times New Roman" w:hAnsi="Times New Roman" w:eastAsia="仿宋_GB2312" w:cs="Arial"/>
          <w:color w:val="auto"/>
          <w:kern w:val="0"/>
          <w:sz w:val="30"/>
          <w:szCs w:val="30"/>
          <w:highlight w:val="none"/>
          <w:lang w:val="zh-CN" w:eastAsia="zh-CN"/>
        </w:rPr>
        <w:t>年华宁县宁州街道葫芦冲、茂地村片区高标准农田建设项目，</w:t>
      </w:r>
      <w:r>
        <w:rPr>
          <w:rFonts w:hint="eastAsia" w:ascii="Times New Roman" w:hAnsi="Times New Roman" w:eastAsia="仿宋_GB2312" w:cs="Arial"/>
          <w:color w:val="auto"/>
          <w:kern w:val="0"/>
          <w:sz w:val="30"/>
          <w:szCs w:val="30"/>
          <w:highlight w:val="none"/>
          <w:lang w:val="en-US" w:eastAsia="zh-CN"/>
        </w:rPr>
        <w:t>项目完成形象进度15.00%。华宁县2023年高标准农田项目</w:t>
      </w:r>
      <w:r>
        <w:rPr>
          <w:rFonts w:hint="eastAsia"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val="en-US" w:eastAsia="zh-CN"/>
        </w:rPr>
        <w:t>截至目前项目完成形象进</w:t>
      </w:r>
      <w:bookmarkStart w:id="0" w:name="_GoBack"/>
      <w:bookmarkEnd w:id="0"/>
      <w:r>
        <w:rPr>
          <w:rFonts w:hint="eastAsia" w:ascii="Times New Roman" w:hAnsi="Times New Roman" w:eastAsia="仿宋_GB2312" w:cs="Arial"/>
          <w:color w:val="auto"/>
          <w:kern w:val="0"/>
          <w:sz w:val="30"/>
          <w:szCs w:val="30"/>
          <w:highlight w:val="none"/>
          <w:lang w:val="en-US" w:eastAsia="zh-CN"/>
        </w:rPr>
        <w:t>度57.00%。</w:t>
      </w:r>
    </w:p>
    <w:p w14:paraId="04ABD50B">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（十）粮油保障资金项目</w:t>
      </w:r>
    </w:p>
    <w:p w14:paraId="3BBC63FF">
      <w:pPr>
        <w:spacing w:line="600" w:lineRule="exact"/>
        <w:ind w:firstLine="600" w:firstLineChars="200"/>
        <w:rPr>
          <w:rFonts w:hint="eastAsia" w:ascii="Times New Roman" w:hAnsi="Times New Roman" w:eastAsia="仿宋_GB2312" w:cs="Arial"/>
          <w:color w:val="auto"/>
          <w:kern w:val="0"/>
          <w:sz w:val="30"/>
          <w:szCs w:val="30"/>
          <w:highlight w:val="none"/>
          <w:lang w:val="zh-CN" w:eastAsia="zh-CN"/>
        </w:rPr>
      </w:pPr>
      <w:r>
        <w:rPr>
          <w:rFonts w:hint="eastAsia" w:ascii="Times New Roman" w:hAnsi="Times New Roman" w:eastAsia="仿宋_GB2312" w:cs="Arial"/>
          <w:color w:val="auto"/>
          <w:kern w:val="0"/>
          <w:sz w:val="30"/>
          <w:szCs w:val="30"/>
          <w:highlight w:val="none"/>
          <w:lang w:val="zh-CN" w:eastAsia="zh-CN"/>
        </w:rPr>
        <w:t>实施2025年华宁县中央耕地建设与利用资金耕地轮作休耕（扩种油菜）项目。完成2025年华宁县省级水稻绿色高质高效示范项目。实施2025年华宁县省级粮油生产粮经协同示范项目。</w:t>
      </w:r>
    </w:p>
    <w:p w14:paraId="4E185C57">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color w:val="auto"/>
          <w:kern w:val="0"/>
          <w:sz w:val="30"/>
          <w:szCs w:val="30"/>
          <w:highlight w:val="none"/>
          <w:lang w:val="en-US" w:eastAsia="zh-CN"/>
        </w:rPr>
        <w:t>（十</w:t>
      </w:r>
      <w:r>
        <w:rPr>
          <w:rFonts w:hint="eastAsia" w:eastAsia="仿宋_GB2312" w:cs="Arial"/>
          <w:color w:val="auto"/>
          <w:kern w:val="0"/>
          <w:sz w:val="30"/>
          <w:szCs w:val="30"/>
          <w:highlight w:val="none"/>
          <w:lang w:val="en-US" w:eastAsia="zh-CN"/>
        </w:rPr>
        <w:t>一</w:t>
      </w:r>
      <w:r>
        <w:rPr>
          <w:rFonts w:hint="eastAsia" w:ascii="Times New Roman" w:hAnsi="Times New Roman" w:eastAsia="仿宋_GB2312" w:cs="Arial"/>
          <w:color w:val="auto"/>
          <w:kern w:val="0"/>
          <w:sz w:val="30"/>
          <w:szCs w:val="30"/>
          <w:highlight w:val="none"/>
          <w:lang w:val="en-US" w:eastAsia="zh-CN"/>
        </w:rPr>
        <w:t>）农资市场监管工作</w:t>
      </w:r>
    </w:p>
    <w:p w14:paraId="46D34DC2">
      <w:pPr>
        <w:spacing w:line="600" w:lineRule="exact"/>
        <w:ind w:firstLine="600" w:firstLineChars="200"/>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lang w:val="en-US" w:eastAsia="zh-CN"/>
        </w:rPr>
        <w:t>2025年加强了农资市场监管力度，累计出动执法人员146人次，检查生产经营单位288个，发现问题线索移交农业行政综合执法大队查处农资案件共8件。</w:t>
      </w:r>
    </w:p>
    <w:p w14:paraId="1FF3BC67">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第二部分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部门决算表</w:t>
      </w:r>
    </w:p>
    <w:p w14:paraId="7EB8CA99">
      <w:pPr>
        <w:spacing w:line="600" w:lineRule="exact"/>
        <w:ind w:firstLine="600" w:firstLineChars="200"/>
        <w:jc w:val="center"/>
        <w:outlineLvl w:val="1"/>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（详见附件）</w:t>
      </w:r>
    </w:p>
    <w:p w14:paraId="371BF5FB">
      <w:pPr>
        <w:spacing w:line="600" w:lineRule="exact"/>
        <w:ind w:firstLine="600" w:firstLineChars="200"/>
        <w:rPr>
          <w:rFonts w:hint="eastAsia" w:ascii="Times New Roman" w:hAnsi="Times New Roman" w:eastAsia="仿宋_GB2312"/>
          <w:color w:val="auto"/>
          <w:sz w:val="30"/>
          <w:szCs w:val="30"/>
          <w:highlight w:val="none"/>
          <w:lang w:eastAsia="zh-CN"/>
        </w:rPr>
      </w:pPr>
      <w:r>
        <w:rPr>
          <w:rFonts w:hint="default" w:ascii="Times New Roman" w:hAnsi="Times New Roman" w:eastAsia="仿宋_GB2312" w:cs="Arial"/>
          <w:color w:val="auto"/>
          <w:kern w:val="0"/>
          <w:sz w:val="30"/>
          <w:szCs w:val="30"/>
          <w:highlight w:val="none"/>
          <w:lang w:val="en-US" w:eastAsia="zh-CN"/>
        </w:rPr>
        <w:t>华宁县</w:t>
      </w:r>
      <w:r>
        <w:rPr>
          <w:rFonts w:hint="eastAsia" w:eastAsia="仿宋_GB2312" w:cs="Arial"/>
          <w:color w:val="auto"/>
          <w:kern w:val="0"/>
          <w:sz w:val="30"/>
          <w:szCs w:val="30"/>
          <w:highlight w:val="none"/>
          <w:lang w:val="en-US" w:eastAsia="zh-CN"/>
        </w:rPr>
        <w:t>农业科学技术服务中心</w:t>
      </w:r>
      <w:r>
        <w:rPr>
          <w:rFonts w:hint="default" w:ascii="Times New Roman" w:hAnsi="Times New Roman" w:eastAsia="仿宋_GB2312" w:cs="Times New Roman"/>
          <w:color w:val="auto"/>
          <w:sz w:val="30"/>
          <w:szCs w:val="30"/>
          <w:highlight w:val="none"/>
          <w:lang w:val="en-US" w:eastAsia="zh-CN"/>
        </w:rPr>
        <w:t>202</w:t>
      </w:r>
      <w:r>
        <w:rPr>
          <w:rFonts w:hint="eastAsia" w:ascii="Times New Roman" w:hAnsi="Times New Roman" w:eastAsia="仿宋_GB2312" w:cs="Times New Roman"/>
          <w:color w:val="auto"/>
          <w:sz w:val="30"/>
          <w:szCs w:val="30"/>
          <w:highlight w:val="none"/>
          <w:lang w:val="en-US" w:eastAsia="zh-CN"/>
        </w:rPr>
        <w:t>5</w:t>
      </w:r>
      <w:r>
        <w:rPr>
          <w:rFonts w:hint="default" w:ascii="Times New Roman" w:hAnsi="Times New Roman" w:eastAsia="仿宋_GB2312" w:cs="Arial"/>
          <w:color w:val="auto"/>
          <w:kern w:val="0"/>
          <w:sz w:val="30"/>
          <w:szCs w:val="30"/>
          <w:highlight w:val="none"/>
          <w:lang w:val="en-US" w:eastAsia="zh-CN"/>
        </w:rPr>
        <w:t>年无国有资本经营预算财政拨款收入支出</w:t>
      </w:r>
      <w:r>
        <w:rPr>
          <w:rFonts w:hint="eastAsia" w:ascii="Times New Roman" w:hAnsi="Times New Roman" w:eastAsia="仿宋_GB2312" w:cs="Arial"/>
          <w:color w:val="auto"/>
          <w:kern w:val="0"/>
          <w:sz w:val="30"/>
          <w:szCs w:val="30"/>
          <w:highlight w:val="none"/>
          <w:lang w:val="en-US" w:eastAsia="zh-CN"/>
        </w:rPr>
        <w:t>，</w:t>
      </w:r>
      <w:r>
        <w:rPr>
          <w:rFonts w:hint="default" w:ascii="Times New Roman" w:hAnsi="Times New Roman" w:eastAsia="仿宋_GB2312" w:cs="Arial"/>
          <w:color w:val="auto"/>
          <w:kern w:val="0"/>
          <w:sz w:val="30"/>
          <w:szCs w:val="30"/>
          <w:highlight w:val="none"/>
          <w:lang w:val="en-US" w:eastAsia="zh-CN"/>
        </w:rPr>
        <w:t>《国有资本经营预算财政拨款收入支出决算表》</w:t>
      </w:r>
      <w:r>
        <w:rPr>
          <w:rFonts w:hint="eastAsia" w:ascii="Times New Roman" w:hAnsi="Times New Roman" w:eastAsia="仿宋_GB2312" w:cs="Arial"/>
          <w:color w:val="auto"/>
          <w:kern w:val="0"/>
          <w:sz w:val="30"/>
          <w:szCs w:val="30"/>
          <w:highlight w:val="none"/>
          <w:lang w:val="en-US" w:eastAsia="zh-CN"/>
        </w:rPr>
        <w:t>为空表</w:t>
      </w:r>
      <w:r>
        <w:rPr>
          <w:rFonts w:hint="default" w:ascii="Times New Roman" w:hAnsi="Times New Roman" w:eastAsia="仿宋_GB2312" w:cs="Arial"/>
          <w:color w:val="auto"/>
          <w:kern w:val="0"/>
          <w:sz w:val="30"/>
          <w:szCs w:val="30"/>
          <w:highlight w:val="none"/>
          <w:lang w:val="en-US" w:eastAsia="zh-CN"/>
        </w:rPr>
        <w:t>。</w:t>
      </w:r>
    </w:p>
    <w:p w14:paraId="6D75BA59">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第三部</w:t>
      </w:r>
      <w:r>
        <w:rPr>
          <w:rFonts w:hint="eastAsia" w:ascii="Times New Roman" w:hAnsi="Times New Roman" w:eastAsia="黑体"/>
          <w:color w:val="auto"/>
          <w:sz w:val="32"/>
          <w:szCs w:val="32"/>
          <w:highlight w:val="none"/>
          <w:lang w:eastAsia="zh-CN"/>
        </w:rPr>
        <w:t>分</w:t>
      </w:r>
      <w:r>
        <w:rPr>
          <w:rFonts w:hint="eastAsia" w:ascii="Times New Roman" w:hAnsi="Times New Roman" w:eastAsia="黑体"/>
          <w:color w:val="auto"/>
          <w:sz w:val="32"/>
          <w:szCs w:val="32"/>
          <w:highlight w:val="none"/>
        </w:rPr>
        <w:t xml:space="preserve">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部门决算情况说明</w:t>
      </w:r>
    </w:p>
    <w:p w14:paraId="6F7D0BDD">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一、收入决算情况说明</w:t>
      </w:r>
    </w:p>
    <w:p w14:paraId="55C8BB22">
      <w:pPr>
        <w:widowControl/>
        <w:snapToGrid w:val="0"/>
        <w:spacing w:before="100" w:after="100" w:line="600" w:lineRule="exact"/>
        <w:ind w:firstLine="538"/>
        <w:jc w:val="left"/>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收入合计</w:t>
      </w:r>
      <w:r>
        <w:rPr>
          <w:rFonts w:hint="default" w:ascii="Times New Roman" w:hAnsi="Times New Roman" w:eastAsia="仿宋_GB2312" w:cs="Times New Roman"/>
          <w:color w:val="auto"/>
          <w:sz w:val="30"/>
          <w:lang w:val="zh-CN"/>
        </w:rPr>
        <w:t>11</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074</w:t>
      </w:r>
      <w:r>
        <w:rPr>
          <w:rFonts w:hint="default" w:ascii="Times New Roman" w:hAnsi="Times New Roman" w:eastAsia="仿宋_GB2312" w:cs="Times New Roman"/>
          <w:color w:val="auto"/>
          <w:sz w:val="30"/>
          <w:lang w:val="en-US" w:eastAsia="zh-CN"/>
        </w:rPr>
        <w:t>,</w:t>
      </w:r>
      <w:r>
        <w:rPr>
          <w:rFonts w:hint="default" w:ascii="Times New Roman" w:hAnsi="Times New Roman" w:eastAsia="仿宋_GB2312" w:cs="Times New Roman"/>
          <w:color w:val="auto"/>
          <w:sz w:val="30"/>
          <w:lang w:val="zh-CN"/>
        </w:rPr>
        <w:t>744.40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。其中：财政拨款收入</w:t>
      </w:r>
      <w:r>
        <w:rPr>
          <w:rFonts w:hint="eastAsia" w:ascii="Times New Roman" w:hAnsi="Times New Roman" w:eastAsia="仿宋_GB2312" w:cs="仿宋_GB2312"/>
          <w:color w:val="auto"/>
          <w:sz w:val="30"/>
          <w:lang w:val="zh-CN"/>
        </w:rPr>
        <w:t>11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074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744.40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，占总收入的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eastAsia="zh-CN"/>
        </w:rPr>
        <w:t>无</w:t>
      </w:r>
      <w:r>
        <w:rPr>
          <w:rFonts w:hint="eastAsia" w:ascii="Times New Roman" w:hAnsi="Times New Roman" w:eastAsia="仿宋_GB2312"/>
          <w:color w:val="auto"/>
          <w:sz w:val="30"/>
          <w:szCs w:val="30"/>
          <w:highlight w:val="none"/>
        </w:rPr>
        <w:t>上级补助收入；</w:t>
      </w:r>
      <w:r>
        <w:rPr>
          <w:rFonts w:hint="eastAsia" w:ascii="Times New Roman" w:hAnsi="Times New Roman" w:eastAsia="仿宋_GB2312"/>
          <w:color w:val="auto"/>
          <w:sz w:val="30"/>
          <w:szCs w:val="30"/>
          <w:highlight w:val="none"/>
          <w:lang w:eastAsia="zh-CN"/>
        </w:rPr>
        <w:t>无</w:t>
      </w:r>
      <w:r>
        <w:rPr>
          <w:rFonts w:hint="eastAsia" w:ascii="Times New Roman" w:hAnsi="Times New Roman" w:eastAsia="仿宋_GB2312"/>
          <w:color w:val="auto"/>
          <w:sz w:val="30"/>
          <w:szCs w:val="30"/>
          <w:highlight w:val="none"/>
        </w:rPr>
        <w:t>事业收入；</w:t>
      </w:r>
      <w:r>
        <w:rPr>
          <w:rFonts w:hint="eastAsia" w:ascii="Times New Roman" w:hAnsi="Times New Roman" w:eastAsia="仿宋_GB2312"/>
          <w:color w:val="auto"/>
          <w:sz w:val="30"/>
          <w:szCs w:val="30"/>
          <w:highlight w:val="none"/>
          <w:lang w:eastAsia="zh-CN"/>
        </w:rPr>
        <w:t>无</w:t>
      </w:r>
      <w:r>
        <w:rPr>
          <w:rFonts w:hint="eastAsia" w:ascii="Times New Roman" w:hAnsi="Times New Roman" w:eastAsia="仿宋_GB2312"/>
          <w:color w:val="auto"/>
          <w:sz w:val="30"/>
          <w:szCs w:val="30"/>
          <w:highlight w:val="none"/>
        </w:rPr>
        <w:t>经营收入；</w:t>
      </w:r>
      <w:r>
        <w:rPr>
          <w:rFonts w:hint="eastAsia" w:ascii="Times New Roman" w:hAnsi="Times New Roman" w:eastAsia="仿宋_GB2312"/>
          <w:color w:val="auto"/>
          <w:sz w:val="30"/>
          <w:szCs w:val="30"/>
          <w:highlight w:val="none"/>
          <w:lang w:eastAsia="zh-CN"/>
        </w:rPr>
        <w:t>无</w:t>
      </w:r>
      <w:r>
        <w:rPr>
          <w:rFonts w:hint="eastAsia" w:ascii="Times New Roman" w:hAnsi="Times New Roman" w:eastAsia="仿宋_GB2312"/>
          <w:color w:val="auto"/>
          <w:sz w:val="30"/>
          <w:szCs w:val="30"/>
          <w:highlight w:val="none"/>
        </w:rPr>
        <w:t>附属单位</w:t>
      </w:r>
      <w:r>
        <w:rPr>
          <w:rFonts w:hint="eastAsia" w:ascii="Times New Roman" w:hAnsi="Times New Roman" w:eastAsia="仿宋_GB2312"/>
          <w:color w:val="auto"/>
          <w:sz w:val="30"/>
          <w:szCs w:val="30"/>
          <w:highlight w:val="none"/>
          <w:lang w:eastAsia="zh-CN"/>
        </w:rPr>
        <w:t>上缴</w:t>
      </w:r>
      <w:r>
        <w:rPr>
          <w:rFonts w:hint="eastAsia" w:ascii="Times New Roman" w:hAnsi="Times New Roman" w:eastAsia="仿宋_GB2312"/>
          <w:color w:val="auto"/>
          <w:sz w:val="30"/>
          <w:szCs w:val="30"/>
          <w:highlight w:val="none"/>
        </w:rPr>
        <w:t>收入；</w:t>
      </w:r>
      <w:r>
        <w:rPr>
          <w:rFonts w:hint="eastAsia" w:ascii="Times New Roman" w:hAnsi="Times New Roman" w:eastAsia="仿宋_GB2312"/>
          <w:color w:val="auto"/>
          <w:sz w:val="30"/>
          <w:szCs w:val="30"/>
          <w:highlight w:val="none"/>
          <w:lang w:eastAsia="zh-CN"/>
        </w:rPr>
        <w:t>无</w:t>
      </w:r>
      <w:r>
        <w:rPr>
          <w:rFonts w:hint="eastAsia" w:ascii="Times New Roman" w:hAnsi="Times New Roman" w:eastAsia="仿宋_GB2312"/>
          <w:color w:val="auto"/>
          <w:sz w:val="30"/>
          <w:szCs w:val="30"/>
          <w:highlight w:val="none"/>
        </w:rPr>
        <w:t>其他收入。</w:t>
      </w:r>
    </w:p>
    <w:p w14:paraId="6EA21BB6">
      <w:pPr>
        <w:widowControl/>
        <w:snapToGrid w:val="0"/>
        <w:spacing w:before="100" w:after="100" w:line="600" w:lineRule="exact"/>
        <w:ind w:firstLine="538"/>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w:t>
      </w:r>
      <w:r>
        <w:rPr>
          <w:rFonts w:hint="eastAsia" w:ascii="Times New Roman" w:hAnsi="Times New Roman" w:eastAsia="仿宋_GB2312"/>
          <w:color w:val="auto"/>
          <w:sz w:val="30"/>
          <w:szCs w:val="30"/>
          <w:highlight w:val="none"/>
        </w:rPr>
        <w:t>收入合计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022.85</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29.08</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olor w:val="auto"/>
          <w:sz w:val="30"/>
          <w:szCs w:val="30"/>
          <w:highlight w:val="none"/>
        </w:rPr>
        <w:t>财政拨款收入</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998.85</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29.16</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，主要原因是人员经费增加；其他收入</w:t>
      </w:r>
      <w:r>
        <w:rPr>
          <w:rFonts w:hint="eastAsia" w:ascii="Times New Roman" w:hAnsi="Times New Roman" w:eastAsia="仿宋_GB2312"/>
          <w:color w:val="auto"/>
          <w:sz w:val="30"/>
          <w:szCs w:val="30"/>
          <w:highlight w:val="none"/>
          <w:lang w:val="en-US" w:eastAsia="zh-CN"/>
        </w:rPr>
        <w:t>减少</w:t>
      </w:r>
      <w:r>
        <w:rPr>
          <w:rFonts w:hint="eastAsia" w:ascii="Times New Roman" w:hAnsi="Times New Roman" w:eastAsia="仿宋_GB2312" w:cs="仿宋_GB2312"/>
          <w:color w:val="auto"/>
          <w:sz w:val="30"/>
          <w:lang w:val="zh-CN"/>
        </w:rPr>
        <w:t>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976.00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lang w:val="en-US" w:eastAsia="zh-CN"/>
        </w:rPr>
        <w:t>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%，主要原因</w:t>
      </w:r>
      <w:r>
        <w:rPr>
          <w:rFonts w:hint="eastAsia" w:ascii="Times New Roman" w:hAnsi="Times New Roman" w:eastAsia="仿宋_GB2312"/>
          <w:color w:val="auto"/>
          <w:sz w:val="30"/>
          <w:szCs w:val="30"/>
          <w:highlight w:val="none"/>
          <w:lang w:eastAsia="zh-CN"/>
        </w:rPr>
        <w:t>是</w:t>
      </w:r>
      <w:r>
        <w:rPr>
          <w:rFonts w:hint="eastAsia" w:ascii="Times New Roman" w:hAnsi="Times New Roman" w:eastAsia="仿宋_GB2312"/>
          <w:color w:val="auto"/>
          <w:sz w:val="30"/>
          <w:szCs w:val="30"/>
          <w:highlight w:val="none"/>
          <w:lang w:val="en-US" w:eastAsia="zh-CN"/>
        </w:rPr>
        <w:t>2025年无其他收入</w:t>
      </w:r>
      <w:r>
        <w:rPr>
          <w:rFonts w:hint="eastAsia" w:ascii="Times New Roman" w:hAnsi="Times New Roman" w:eastAsia="仿宋_GB2312"/>
          <w:color w:val="auto"/>
          <w:sz w:val="30"/>
          <w:szCs w:val="30"/>
          <w:highlight w:val="none"/>
        </w:rPr>
        <w:t>。</w:t>
      </w:r>
    </w:p>
    <w:p w14:paraId="56233D1E">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二、支出决算情况说明</w:t>
      </w:r>
    </w:p>
    <w:p w14:paraId="69BF4320">
      <w:pPr>
        <w:spacing w:line="600" w:lineRule="exact"/>
        <w:ind w:firstLine="600" w:firstLineChars="200"/>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支出合计</w:t>
      </w:r>
      <w:r>
        <w:rPr>
          <w:rFonts w:hint="eastAsia" w:ascii="Times New Roman" w:hAnsi="Times New Roman" w:eastAsia="仿宋_GB2312" w:cs="仿宋_GB2312"/>
          <w:color w:val="auto"/>
          <w:sz w:val="30"/>
          <w:lang w:val="zh-CN"/>
        </w:rPr>
        <w:t>11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074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744.40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329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754.40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，占总支出的</w:t>
      </w:r>
      <w:r>
        <w:rPr>
          <w:rFonts w:hint="eastAsia" w:ascii="Times New Roman" w:hAnsi="Times New Roman" w:eastAsia="仿宋_GB2312" w:cs="仿宋_GB2312"/>
          <w:color w:val="auto"/>
          <w:sz w:val="30"/>
          <w:lang w:val="zh-CN"/>
        </w:rPr>
        <w:t>48.13</w:t>
      </w:r>
      <w:r>
        <w:rPr>
          <w:rFonts w:hint="eastAsia" w:ascii="Times New Roman" w:hAnsi="Times New Roman" w:eastAsia="仿宋_GB2312" w:cs="Arial"/>
          <w:color w:val="auto"/>
          <w:kern w:val="0"/>
          <w:sz w:val="30"/>
          <w:szCs w:val="30"/>
          <w:highlight w:val="none"/>
        </w:rPr>
        <w:t>％；项目支出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744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990.00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，占总支出的</w:t>
      </w:r>
      <w:r>
        <w:rPr>
          <w:rFonts w:hint="eastAsia" w:ascii="Times New Roman" w:hAnsi="Times New Roman" w:eastAsia="仿宋_GB2312" w:cs="仿宋_GB2312"/>
          <w:color w:val="auto"/>
          <w:sz w:val="30"/>
          <w:lang w:val="zh-CN"/>
        </w:rPr>
        <w:t>51.87</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上缴上级支出；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经营支出；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对附属单位补助支出。</w:t>
      </w:r>
    </w:p>
    <w:p w14:paraId="37CA411C">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相比，支出</w:t>
      </w:r>
      <w:r>
        <w:rPr>
          <w:rFonts w:hint="eastAsia" w:ascii="Times New Roman" w:hAnsi="Times New Roman" w:eastAsia="仿宋_GB2312"/>
          <w:color w:val="auto"/>
          <w:sz w:val="30"/>
          <w:szCs w:val="30"/>
          <w:highlight w:val="none"/>
        </w:rPr>
        <w:t>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022.85</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29.08</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85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329.42</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1.63</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，主要原因是人员增加，</w:t>
      </w:r>
      <w:r>
        <w:rPr>
          <w:rFonts w:hint="eastAsia" w:ascii="Times New Roman" w:hAnsi="Times New Roman" w:eastAsia="仿宋_GB2312"/>
          <w:color w:val="auto"/>
          <w:sz w:val="30"/>
          <w:szCs w:val="30"/>
          <w:highlight w:val="none"/>
          <w:lang w:val="en-US" w:eastAsia="zh-CN"/>
        </w:rPr>
        <w:t xml:space="preserve"> </w:t>
      </w:r>
      <w:r>
        <w:rPr>
          <w:rFonts w:hint="eastAsia" w:ascii="Times New Roman" w:hAnsi="Times New Roman" w:eastAsia="仿宋_GB2312"/>
          <w:color w:val="auto"/>
          <w:sz w:val="30"/>
          <w:szCs w:val="30"/>
          <w:highlight w:val="none"/>
          <w:lang w:eastAsia="zh-CN"/>
        </w:rPr>
        <w:t>项目支出增加</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409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693.43</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72.25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，主要原因是今年增加项目支出。</w:t>
      </w:r>
    </w:p>
    <w:p w14:paraId="0999DEBE">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（一）基本支出情况</w:t>
      </w:r>
    </w:p>
    <w:p w14:paraId="1FA2AEDA">
      <w:pPr>
        <w:widowControl/>
        <w:snapToGrid w:val="0"/>
        <w:spacing w:before="100" w:after="100" w:line="600" w:lineRule="exact"/>
        <w:ind w:firstLine="538"/>
        <w:jc w:val="left"/>
        <w:rPr>
          <w:rFonts w:hint="eastAsia" w:ascii="Times New Roman" w:hAnsi="Times New Roman" w:eastAsia="仿宋_GB2312"/>
          <w:color w:val="auto"/>
          <w:sz w:val="30"/>
          <w:szCs w:val="30"/>
          <w:highlight w:val="none"/>
        </w:rPr>
      </w:pPr>
      <w:r>
        <w:rPr>
          <w:rFonts w:hint="eastAsia" w:ascii="Times New Roman" w:hAnsi="Times New Roman" w:eastAsia="仿宋_GB2312" w:cs="仿宋_GB2312"/>
          <w:color w:val="auto"/>
          <w:sz w:val="30"/>
          <w:szCs w:val="30"/>
          <w:highlight w:val="none"/>
          <w:lang w:val="en-US" w:eastAsia="zh-CN"/>
        </w:rPr>
        <w:t>2025年度</w:t>
      </w:r>
      <w:r>
        <w:rPr>
          <w:rFonts w:hint="eastAsia" w:ascii="Times New Roman" w:hAnsi="Times New Roman" w:eastAsia="仿宋_GB2312" w:cs="仿宋_GB2312"/>
          <w:color w:val="auto"/>
          <w:sz w:val="30"/>
          <w:szCs w:val="30"/>
          <w:highlight w:val="none"/>
        </w:rPr>
        <w:t>用于保障</w:t>
      </w: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s="仿宋_GB2312"/>
          <w:color w:val="auto"/>
          <w:sz w:val="30"/>
          <w:szCs w:val="30"/>
          <w:highlight w:val="none"/>
        </w:rPr>
        <w:t>机构正常运转的日常支出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329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754.40</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w:t>
      </w:r>
      <w:r>
        <w:rPr>
          <w:rFonts w:hint="eastAsia" w:ascii="Times New Roman" w:hAnsi="Times New Roman" w:eastAsia="仿宋_GB2312" w:cs="仿宋_GB2312"/>
          <w:color w:val="auto"/>
          <w:sz w:val="30"/>
          <w:szCs w:val="30"/>
          <w:highlight w:val="none"/>
          <w:lang w:eastAsia="zh-CN"/>
        </w:rPr>
        <w:t>其中：</w:t>
      </w:r>
      <w:r>
        <w:rPr>
          <w:rFonts w:hint="eastAsia" w:ascii="Times New Roman" w:hAnsi="Times New Roman" w:eastAsia="仿宋_GB2312" w:cs="仿宋_GB2312"/>
          <w:color w:val="auto"/>
          <w:sz w:val="30"/>
          <w:szCs w:val="30"/>
          <w:highlight w:val="none"/>
        </w:rPr>
        <w:t>基本工资、津贴补贴等人员经费支出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273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152.72</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98.94</w:t>
      </w:r>
      <w:r>
        <w:rPr>
          <w:rFonts w:hint="eastAsia" w:ascii="Times New Roman" w:hAnsi="Times New Roman" w:eastAsia="仿宋_GB2312" w:cs="仿宋_GB2312"/>
          <w:color w:val="auto"/>
          <w:sz w:val="30"/>
          <w:szCs w:val="30"/>
          <w:highlight w:val="none"/>
        </w:rPr>
        <w:t>％；办公费、印刷费、水电费、办公设备购置等公用经费</w:t>
      </w:r>
      <w:r>
        <w:rPr>
          <w:rFonts w:hint="eastAsia" w:ascii="Times New Roman" w:hAnsi="Times New Roman" w:eastAsia="仿宋_GB2312" w:cs="仿宋_GB2312"/>
          <w:color w:val="auto"/>
          <w:sz w:val="30"/>
          <w:lang w:val="zh-CN"/>
        </w:rPr>
        <w:t>56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601.68</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1.06</w:t>
      </w:r>
      <w:r>
        <w:rPr>
          <w:rFonts w:hint="eastAsia" w:ascii="Times New Roman" w:hAnsi="Times New Roman" w:eastAsia="仿宋_GB2312" w:cs="仿宋_GB2312"/>
          <w:color w:val="auto"/>
          <w:sz w:val="30"/>
          <w:szCs w:val="30"/>
          <w:highlight w:val="none"/>
        </w:rPr>
        <w:t>％。</w:t>
      </w:r>
    </w:p>
    <w:p w14:paraId="672AF5D4">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（二）项目支出情况</w:t>
      </w:r>
    </w:p>
    <w:p w14:paraId="559F16D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用于保障</w:t>
      </w: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olor w:val="auto"/>
          <w:sz w:val="30"/>
          <w:szCs w:val="30"/>
          <w:highlight w:val="none"/>
        </w:rPr>
        <w:t>为完成特定的行政工作任务或事业发展目标，用于专项业务工作的经费支出</w:t>
      </w:r>
      <w:r>
        <w:rPr>
          <w:rFonts w:hint="eastAsia" w:ascii="Times New Roman" w:hAnsi="Times New Roman" w:eastAsia="仿宋_GB2312" w:cs="仿宋_GB2312"/>
          <w:color w:val="auto"/>
          <w:sz w:val="30"/>
          <w:lang w:val="zh-CN"/>
        </w:rPr>
        <w:t>5</w:t>
      </w:r>
      <w:r>
        <w:rPr>
          <w:rFonts w:hint="eastAsia" w:eastAsia="仿宋_GB2312" w:cs="仿宋_GB2312"/>
          <w:color w:val="auto"/>
          <w:sz w:val="30"/>
          <w:lang w:val="en-US" w:eastAsia="zh-CN"/>
        </w:rPr>
        <w:t>,</w:t>
      </w:r>
      <w:r>
        <w:rPr>
          <w:rFonts w:hint="eastAsia" w:ascii="Times New Roman" w:hAnsi="Times New Roman" w:eastAsia="仿宋_GB2312" w:cs="仿宋_GB2312"/>
          <w:color w:val="auto"/>
          <w:sz w:val="30"/>
          <w:lang w:val="zh-CN"/>
        </w:rPr>
        <w:t>744</w:t>
      </w:r>
      <w:r>
        <w:rPr>
          <w:rFonts w:hint="eastAsia" w:eastAsia="仿宋_GB2312" w:cs="仿宋_GB2312"/>
          <w:color w:val="auto"/>
          <w:sz w:val="30"/>
          <w:lang w:val="en-US" w:eastAsia="zh-CN"/>
        </w:rPr>
        <w:t>,</w:t>
      </w:r>
      <w:r>
        <w:rPr>
          <w:rFonts w:hint="eastAsia" w:ascii="Times New Roman" w:hAnsi="Times New Roman" w:eastAsia="仿宋_GB2312" w:cs="仿宋_GB2312"/>
          <w:color w:val="auto"/>
          <w:sz w:val="30"/>
          <w:lang w:val="zh-CN"/>
        </w:rPr>
        <w:t>990.00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其中：基本建设类项目支出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p>
    <w:p w14:paraId="6E61D98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2021年高标准农田建设项目中央资金项目经费</w:t>
      </w:r>
      <w:r>
        <w:rPr>
          <w:rFonts w:hint="eastAsia" w:eastAsia="仿宋_GB2312"/>
          <w:color w:val="auto"/>
          <w:sz w:val="30"/>
          <w:szCs w:val="30"/>
          <w:highlight w:val="none"/>
          <w:lang w:eastAsia="zh-CN"/>
        </w:rPr>
        <w:t>支出</w:t>
      </w:r>
      <w:r>
        <w:rPr>
          <w:rFonts w:hint="eastAsia" w:eastAsia="仿宋_GB2312"/>
          <w:color w:val="auto"/>
          <w:sz w:val="30"/>
          <w:szCs w:val="30"/>
          <w:highlight w:val="none"/>
          <w:lang w:val="en-US" w:eastAsia="zh-CN"/>
        </w:rPr>
        <w:t>930,000.00</w:t>
      </w:r>
      <w:r>
        <w:rPr>
          <w:rFonts w:hint="eastAsia" w:ascii="Times New Roman" w:hAnsi="Times New Roman" w:eastAsia="仿宋_GB2312"/>
          <w:color w:val="auto"/>
          <w:sz w:val="30"/>
          <w:szCs w:val="30"/>
          <w:highlight w:val="none"/>
        </w:rPr>
        <w:t>元，主要用于2021年高标准农田建设</w:t>
      </w:r>
      <w:r>
        <w:rPr>
          <w:rFonts w:hint="eastAsia" w:eastAsia="仿宋_GB2312"/>
          <w:color w:val="auto"/>
          <w:sz w:val="30"/>
          <w:szCs w:val="30"/>
          <w:highlight w:val="none"/>
          <w:lang w:eastAsia="zh-CN"/>
        </w:rPr>
        <w:t>；</w:t>
      </w:r>
    </w:p>
    <w:p w14:paraId="46CAA9E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2022年高标准农田建设（第二批）资金项目经费</w:t>
      </w:r>
      <w:r>
        <w:rPr>
          <w:rFonts w:hint="eastAsia" w:eastAsia="仿宋_GB2312"/>
          <w:color w:val="auto"/>
          <w:sz w:val="30"/>
          <w:szCs w:val="30"/>
          <w:highlight w:val="none"/>
          <w:lang w:val="en-US" w:eastAsia="zh-CN"/>
        </w:rPr>
        <w:t>300,000.00</w:t>
      </w:r>
      <w:r>
        <w:rPr>
          <w:rFonts w:hint="eastAsia" w:ascii="Times New Roman" w:hAnsi="Times New Roman" w:eastAsia="仿宋_GB2312"/>
          <w:color w:val="auto"/>
          <w:sz w:val="30"/>
          <w:szCs w:val="30"/>
          <w:highlight w:val="none"/>
        </w:rPr>
        <w:t>元，主要用于</w:t>
      </w:r>
      <w:r>
        <w:rPr>
          <w:rFonts w:hint="eastAsia" w:eastAsia="仿宋_GB2312"/>
          <w:color w:val="auto"/>
          <w:sz w:val="30"/>
          <w:szCs w:val="30"/>
          <w:highlight w:val="none"/>
          <w:lang w:eastAsia="zh-CN"/>
        </w:rPr>
        <w:t>华宁县</w:t>
      </w:r>
      <w:r>
        <w:rPr>
          <w:rFonts w:hint="eastAsia" w:ascii="Times New Roman" w:hAnsi="Times New Roman" w:eastAsia="仿宋_GB2312"/>
          <w:color w:val="auto"/>
          <w:sz w:val="30"/>
          <w:szCs w:val="30"/>
          <w:highlight w:val="none"/>
        </w:rPr>
        <w:t>宁州街道新庄、暮车、普左片区高标准农田建设</w:t>
      </w:r>
      <w:r>
        <w:rPr>
          <w:rFonts w:hint="eastAsia" w:eastAsia="仿宋_GB2312"/>
          <w:color w:val="auto"/>
          <w:sz w:val="30"/>
          <w:szCs w:val="30"/>
          <w:highlight w:val="none"/>
          <w:lang w:eastAsia="zh-CN"/>
        </w:rPr>
        <w:t>。</w:t>
      </w:r>
    </w:p>
    <w:p w14:paraId="4FCBDE8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2023年高标准农田建设项目中央资金项目经费</w:t>
      </w:r>
      <w:r>
        <w:rPr>
          <w:rFonts w:hint="eastAsia" w:eastAsia="仿宋_GB2312"/>
          <w:color w:val="auto"/>
          <w:sz w:val="30"/>
          <w:szCs w:val="30"/>
          <w:highlight w:val="none"/>
          <w:lang w:val="en-US" w:eastAsia="zh-CN"/>
        </w:rPr>
        <w:t>1,070,000.00</w:t>
      </w:r>
      <w:r>
        <w:rPr>
          <w:rFonts w:hint="eastAsia" w:ascii="Times New Roman" w:hAnsi="Times New Roman" w:eastAsia="仿宋_GB2312"/>
          <w:color w:val="auto"/>
          <w:sz w:val="30"/>
          <w:szCs w:val="30"/>
          <w:highlight w:val="none"/>
        </w:rPr>
        <w:t>元，主要用于华宁县宁州街道</w:t>
      </w:r>
      <w:r>
        <w:rPr>
          <w:rFonts w:hint="eastAsia" w:ascii="Times New Roman" w:hAnsi="Times New Roman" w:eastAsia="仿宋_GB2312"/>
          <w:color w:val="auto"/>
          <w:sz w:val="30"/>
          <w:szCs w:val="30"/>
          <w:highlight w:val="none"/>
          <w:lang w:eastAsia="zh-CN"/>
        </w:rPr>
        <w:t>葫芦冲、茂地村</w:t>
      </w:r>
      <w:r>
        <w:rPr>
          <w:rFonts w:hint="eastAsia" w:ascii="Times New Roman" w:hAnsi="Times New Roman" w:eastAsia="仿宋_GB2312"/>
          <w:color w:val="auto"/>
          <w:sz w:val="30"/>
          <w:szCs w:val="30"/>
          <w:highlight w:val="none"/>
        </w:rPr>
        <w:t>片区高标准农田建设</w:t>
      </w:r>
      <w:r>
        <w:rPr>
          <w:rFonts w:hint="eastAsia" w:eastAsia="仿宋_GB2312"/>
          <w:color w:val="auto"/>
          <w:sz w:val="30"/>
          <w:szCs w:val="30"/>
          <w:highlight w:val="none"/>
          <w:lang w:eastAsia="zh-CN"/>
        </w:rPr>
        <w:t>。</w:t>
      </w:r>
    </w:p>
    <w:p w14:paraId="3402752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2024年华宁县耕地建设与利用（扩种油菜）项目资金项目经费</w:t>
      </w:r>
      <w:r>
        <w:rPr>
          <w:rFonts w:hint="eastAsia" w:eastAsia="仿宋_GB2312"/>
          <w:color w:val="auto"/>
          <w:sz w:val="30"/>
          <w:szCs w:val="30"/>
          <w:highlight w:val="none"/>
          <w:lang w:val="en-US" w:eastAsia="zh-CN"/>
        </w:rPr>
        <w:t>840,000.00</w:t>
      </w:r>
      <w:r>
        <w:rPr>
          <w:rFonts w:hint="eastAsia" w:ascii="Times New Roman" w:hAnsi="Times New Roman" w:eastAsia="仿宋_GB2312"/>
          <w:color w:val="auto"/>
          <w:sz w:val="30"/>
          <w:szCs w:val="30"/>
          <w:highlight w:val="none"/>
        </w:rPr>
        <w:t>元，主要用于全县5个乡镇（街道）大力种植油菜面积28</w:t>
      </w:r>
      <w:r>
        <w:rPr>
          <w:rFonts w:hint="eastAsia"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000</w:t>
      </w:r>
      <w:r>
        <w:rPr>
          <w:rFonts w:hint="eastAsia" w:eastAsia="仿宋_GB2312"/>
          <w:color w:val="auto"/>
          <w:sz w:val="30"/>
          <w:szCs w:val="30"/>
          <w:highlight w:val="none"/>
          <w:lang w:val="en-US" w:eastAsia="zh-CN"/>
        </w:rPr>
        <w:t>.00</w:t>
      </w:r>
      <w:r>
        <w:rPr>
          <w:rFonts w:hint="eastAsia" w:ascii="Times New Roman" w:hAnsi="Times New Roman" w:eastAsia="仿宋_GB2312"/>
          <w:color w:val="auto"/>
          <w:sz w:val="30"/>
          <w:szCs w:val="30"/>
          <w:highlight w:val="none"/>
        </w:rPr>
        <w:t>亩，其中：华溪镇500.6</w:t>
      </w:r>
      <w:r>
        <w:rPr>
          <w:rFonts w:hint="eastAsia" w:eastAsia="仿宋_GB2312"/>
          <w:color w:val="auto"/>
          <w:sz w:val="30"/>
          <w:szCs w:val="30"/>
          <w:highlight w:val="none"/>
          <w:lang w:val="en-US" w:eastAsia="zh-CN"/>
        </w:rPr>
        <w:t>0</w:t>
      </w:r>
      <w:r>
        <w:rPr>
          <w:rFonts w:hint="eastAsia" w:ascii="Times New Roman" w:hAnsi="Times New Roman" w:eastAsia="仿宋_GB2312"/>
          <w:color w:val="auto"/>
          <w:sz w:val="30"/>
          <w:szCs w:val="30"/>
          <w:highlight w:val="none"/>
        </w:rPr>
        <w:t>亩，宁州街道11</w:t>
      </w:r>
      <w:r>
        <w:rPr>
          <w:rFonts w:hint="eastAsia"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195.7</w:t>
      </w:r>
      <w:r>
        <w:rPr>
          <w:rFonts w:hint="eastAsia" w:eastAsia="仿宋_GB2312"/>
          <w:color w:val="auto"/>
          <w:sz w:val="30"/>
          <w:szCs w:val="30"/>
          <w:highlight w:val="none"/>
          <w:lang w:val="en-US" w:eastAsia="zh-CN"/>
        </w:rPr>
        <w:t>0</w:t>
      </w:r>
      <w:r>
        <w:rPr>
          <w:rFonts w:hint="eastAsia" w:ascii="Times New Roman" w:hAnsi="Times New Roman" w:eastAsia="仿宋_GB2312"/>
          <w:color w:val="auto"/>
          <w:sz w:val="30"/>
          <w:szCs w:val="30"/>
          <w:highlight w:val="none"/>
        </w:rPr>
        <w:t>亩，青龙镇11</w:t>
      </w:r>
      <w:r>
        <w:rPr>
          <w:rFonts w:hint="eastAsia"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920.2</w:t>
      </w:r>
      <w:r>
        <w:rPr>
          <w:rFonts w:hint="eastAsia" w:eastAsia="仿宋_GB2312"/>
          <w:color w:val="auto"/>
          <w:sz w:val="30"/>
          <w:szCs w:val="30"/>
          <w:highlight w:val="none"/>
          <w:lang w:val="en-US" w:eastAsia="zh-CN"/>
        </w:rPr>
        <w:t>0</w:t>
      </w:r>
      <w:r>
        <w:rPr>
          <w:rFonts w:hint="eastAsia" w:ascii="Times New Roman" w:hAnsi="Times New Roman" w:eastAsia="仿宋_GB2312"/>
          <w:color w:val="auto"/>
          <w:sz w:val="30"/>
          <w:szCs w:val="30"/>
          <w:highlight w:val="none"/>
        </w:rPr>
        <w:t>亩，盘溪镇1</w:t>
      </w:r>
      <w:r>
        <w:rPr>
          <w:rFonts w:hint="eastAsia"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818.2</w:t>
      </w:r>
      <w:r>
        <w:rPr>
          <w:rFonts w:hint="eastAsia" w:eastAsia="仿宋_GB2312"/>
          <w:color w:val="auto"/>
          <w:sz w:val="30"/>
          <w:szCs w:val="30"/>
          <w:highlight w:val="none"/>
          <w:lang w:val="en-US" w:eastAsia="zh-CN"/>
        </w:rPr>
        <w:t>0</w:t>
      </w:r>
      <w:r>
        <w:rPr>
          <w:rFonts w:hint="eastAsia" w:ascii="Times New Roman" w:hAnsi="Times New Roman" w:eastAsia="仿宋_GB2312"/>
          <w:color w:val="auto"/>
          <w:sz w:val="30"/>
          <w:szCs w:val="30"/>
          <w:highlight w:val="none"/>
        </w:rPr>
        <w:t>亩，通红甸乡2</w:t>
      </w:r>
      <w:r>
        <w:rPr>
          <w:rFonts w:hint="eastAsia"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565.4</w:t>
      </w:r>
      <w:r>
        <w:rPr>
          <w:rFonts w:hint="eastAsia" w:eastAsia="仿宋_GB2312"/>
          <w:color w:val="auto"/>
          <w:sz w:val="30"/>
          <w:szCs w:val="30"/>
          <w:highlight w:val="none"/>
          <w:lang w:val="en-US" w:eastAsia="zh-CN"/>
        </w:rPr>
        <w:t>0</w:t>
      </w:r>
      <w:r>
        <w:rPr>
          <w:rFonts w:hint="eastAsia" w:ascii="Times New Roman" w:hAnsi="Times New Roman" w:eastAsia="仿宋_GB2312"/>
          <w:color w:val="auto"/>
          <w:sz w:val="30"/>
          <w:szCs w:val="30"/>
          <w:highlight w:val="none"/>
        </w:rPr>
        <w:t>亩</w:t>
      </w:r>
      <w:r>
        <w:rPr>
          <w:rFonts w:hint="eastAsia" w:eastAsia="仿宋_GB2312"/>
          <w:color w:val="auto"/>
          <w:sz w:val="30"/>
          <w:szCs w:val="30"/>
          <w:highlight w:val="none"/>
          <w:lang w:eastAsia="zh-CN"/>
        </w:rPr>
        <w:t>。</w:t>
      </w:r>
    </w:p>
    <w:p w14:paraId="3EC807E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rPr>
        <w:t>2025年华宁县省级粮油生产粮经协同示范项目资金</w:t>
      </w:r>
      <w:r>
        <w:rPr>
          <w:rFonts w:hint="eastAsia" w:eastAsia="仿宋_GB2312"/>
          <w:color w:val="auto"/>
          <w:sz w:val="30"/>
          <w:szCs w:val="30"/>
          <w:highlight w:val="none"/>
          <w:lang w:eastAsia="zh-CN"/>
        </w:rPr>
        <w:t>项目经费</w:t>
      </w:r>
      <w:r>
        <w:rPr>
          <w:rFonts w:hint="eastAsia" w:eastAsia="仿宋_GB2312"/>
          <w:color w:val="auto"/>
          <w:sz w:val="30"/>
          <w:szCs w:val="30"/>
          <w:highlight w:val="none"/>
          <w:lang w:val="en-US" w:eastAsia="zh-CN"/>
        </w:rPr>
        <w:t xml:space="preserve">  66,200.00元，主要用于发展荞麦生产，发挥全县适宜地区烟后山地粮食生产潜力，增加我县粮食面积和产量，促进粮经协同发展。</w:t>
      </w:r>
    </w:p>
    <w:p w14:paraId="111F322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eastAsia="仿宋_GB2312"/>
          <w:color w:val="auto"/>
          <w:sz w:val="30"/>
          <w:szCs w:val="30"/>
          <w:highlight w:val="none"/>
          <w:lang w:val="en-US" w:eastAsia="zh-CN"/>
        </w:rPr>
      </w:pPr>
      <w:r>
        <w:rPr>
          <w:rFonts w:hint="default" w:eastAsia="仿宋_GB2312"/>
          <w:color w:val="auto"/>
          <w:sz w:val="30"/>
          <w:szCs w:val="30"/>
          <w:highlight w:val="none"/>
          <w:lang w:val="en-US" w:eastAsia="zh-CN"/>
        </w:rPr>
        <w:t>2025年中央耕地建设与利用资金</w:t>
      </w:r>
      <w:r>
        <w:rPr>
          <w:rFonts w:hint="eastAsia" w:eastAsia="仿宋_GB2312"/>
          <w:color w:val="auto"/>
          <w:sz w:val="30"/>
          <w:szCs w:val="30"/>
          <w:highlight w:val="none"/>
          <w:lang w:val="en-US" w:eastAsia="zh-CN"/>
        </w:rPr>
        <w:t>项目经费840,000.00元，主要用于开展耕地建设与利用，实现油菜扩种面积达到28,000.00亩，通过一卡通发放油菜种植补贴。</w:t>
      </w:r>
    </w:p>
    <w:p w14:paraId="43939169">
      <w:pPr>
        <w:widowControl/>
        <w:snapToGrid w:val="0"/>
        <w:spacing w:before="100" w:after="100" w:line="600" w:lineRule="exact"/>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三、一般公共预算财政拨款支出决算情况说明</w:t>
      </w:r>
    </w:p>
    <w:p w14:paraId="32610817">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（一）一般公共预算财政拨款支出决算总体情况</w:t>
      </w:r>
    </w:p>
    <w:p w14:paraId="20ADAB55">
      <w:pPr>
        <w:widowControl/>
        <w:snapToGrid w:val="0"/>
        <w:spacing w:before="100" w:after="100"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一般公共预算财政拨款支出</w:t>
      </w:r>
      <w:r>
        <w:rPr>
          <w:rFonts w:hint="eastAsia" w:ascii="Times New Roman" w:hAnsi="Times New Roman" w:eastAsia="仿宋_GB2312" w:cs="仿宋_GB2312"/>
          <w:color w:val="auto"/>
          <w:kern w:val="0"/>
          <w:sz w:val="30"/>
          <w:lang w:val="zh-CN"/>
        </w:rPr>
        <w:t>9</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271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244.40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,占本年支出合计的</w:t>
      </w:r>
      <w:r>
        <w:rPr>
          <w:rFonts w:hint="eastAsia" w:ascii="Times New Roman" w:hAnsi="Times New Roman" w:eastAsia="仿宋_GB2312" w:cs="仿宋_GB2312"/>
          <w:color w:val="auto"/>
          <w:sz w:val="30"/>
          <w:lang w:val="zh-CN"/>
        </w:rPr>
        <w:t>83.72</w:t>
      </w:r>
      <w:r>
        <w:rPr>
          <w:rFonts w:hint="eastAsia" w:ascii="Times New Roman" w:hAnsi="Times New Roman" w:eastAsia="仿宋_GB2312" w:cs="Arial"/>
          <w:color w:val="auto"/>
          <w:kern w:val="0"/>
          <w:sz w:val="30"/>
          <w:szCs w:val="30"/>
          <w:highlight w:val="none"/>
        </w:rPr>
        <w:t>%。与上年</w:t>
      </w:r>
      <w:r>
        <w:rPr>
          <w:rFonts w:hint="eastAsia" w:ascii="Times New Roman" w:hAnsi="Times New Roman" w:eastAsia="仿宋_GB2312" w:cs="Arial"/>
          <w:color w:val="auto"/>
          <w:kern w:val="0"/>
          <w:sz w:val="30"/>
          <w:szCs w:val="30"/>
          <w:highlight w:val="none"/>
          <w:lang w:eastAsia="zh-CN"/>
        </w:rPr>
        <w:t>相比</w:t>
      </w:r>
      <w:r>
        <w:rPr>
          <w:rFonts w:hint="eastAsia" w:ascii="Times New Roman" w:hAnsi="Times New Roman" w:eastAsia="仿宋_GB2312" w:cs="Arial"/>
          <w:color w:val="auto"/>
          <w:kern w:val="0"/>
          <w:sz w:val="30"/>
          <w:szCs w:val="30"/>
          <w:highlight w:val="none"/>
        </w:rPr>
        <w:t>增加</w:t>
      </w:r>
      <w:r>
        <w:rPr>
          <w:rFonts w:hint="eastAsia" w:ascii="Times New Roman" w:hAnsi="Times New Roman" w:eastAsia="仿宋_GB2312" w:cs="仿宋_GB2312"/>
          <w:color w:val="auto"/>
          <w:kern w:val="0"/>
          <w:sz w:val="30"/>
          <w:lang w:val="zh-CN"/>
        </w:rPr>
        <w:t>790</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398.85</w:t>
      </w:r>
      <w:r>
        <w:rPr>
          <w:rFonts w:hint="eastAsia" w:ascii="Times New Roman" w:hAnsi="Times New Roman" w:eastAsia="仿宋_GB2312" w:cs="Arial"/>
          <w:color w:val="auto"/>
          <w:kern w:val="0"/>
          <w:sz w:val="30"/>
          <w:szCs w:val="30"/>
          <w:highlight w:val="none"/>
        </w:rPr>
        <w:t>元，增长</w:t>
      </w:r>
      <w:r>
        <w:rPr>
          <w:rFonts w:hint="eastAsia" w:ascii="Times New Roman" w:hAnsi="Times New Roman" w:eastAsia="仿宋_GB2312" w:cs="仿宋_GB2312"/>
          <w:color w:val="auto"/>
          <w:kern w:val="0"/>
          <w:sz w:val="30"/>
          <w:lang w:val="zh-CN"/>
        </w:rPr>
        <w:t>9.32</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sz w:val="30"/>
          <w:lang w:val="zh-CN"/>
        </w:rPr>
        <w:t>165.92</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w:t>
      </w:r>
    </w:p>
    <w:p w14:paraId="3C9D03CF">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（二）一般公共预算财政拨款支出决算</w:t>
      </w:r>
      <w:r>
        <w:rPr>
          <w:rFonts w:hint="eastAsia" w:ascii="Times New Roman" w:hAnsi="Times New Roman" w:eastAsia="楷体"/>
          <w:color w:val="auto"/>
          <w:sz w:val="30"/>
          <w:szCs w:val="30"/>
          <w:highlight w:val="none"/>
          <w:lang w:eastAsia="zh-CN"/>
        </w:rPr>
        <w:t>分功能分类科目情况</w:t>
      </w:r>
      <w:r>
        <w:rPr>
          <w:rFonts w:hint="eastAsia" w:ascii="Times New Roman" w:hAnsi="Times New Roman" w:eastAsia="楷体"/>
          <w:color w:val="auto"/>
          <w:sz w:val="30"/>
          <w:szCs w:val="30"/>
          <w:highlight w:val="none"/>
        </w:rPr>
        <w:tab/>
      </w:r>
    </w:p>
    <w:p w14:paraId="12F73E6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1.一般公共服务（类）支出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23FDFEC5">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2.外交（类）支出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3138B70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3.国防（类）支出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682D4398">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4.公共安全（类）支出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63EAE9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5.教育（类）支出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7A54A6C0">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6.科学技术（类）支出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159A1E7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7.文化旅游体育与传媒（类）支出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173BBC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8.社会保障和就业（类）支出</w:t>
      </w:r>
      <w:r>
        <w:rPr>
          <w:rFonts w:hint="eastAsia" w:ascii="Times New Roman" w:hAnsi="Times New Roman" w:eastAsia="仿宋_GB2312" w:cs="仿宋_GB2312"/>
          <w:color w:val="auto"/>
          <w:kern w:val="0"/>
          <w:sz w:val="30"/>
          <w:lang w:val="en-US" w:eastAsia="zh-CN"/>
        </w:rPr>
        <w:t>843,137.58</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9.09</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90.30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主要用于机关事业单位基本养老保险缴费支出</w:t>
      </w:r>
      <w:r>
        <w:rPr>
          <w:rFonts w:hint="eastAsia" w:ascii="Times New Roman" w:hAnsi="Times New Roman" w:eastAsia="仿宋_GB2312" w:cs="Arial"/>
          <w:color w:val="auto"/>
          <w:kern w:val="0"/>
          <w:sz w:val="30"/>
          <w:szCs w:val="30"/>
          <w:highlight w:val="none"/>
          <w:lang w:val="en-US" w:eastAsia="zh-CN"/>
        </w:rPr>
        <w:t>503,500.80</w:t>
      </w:r>
      <w:r>
        <w:rPr>
          <w:rFonts w:hint="eastAsia" w:ascii="Times New Roman" w:hAnsi="Times New Roman" w:eastAsia="仿宋_GB2312" w:cs="Arial"/>
          <w:color w:val="auto"/>
          <w:kern w:val="0"/>
          <w:sz w:val="30"/>
          <w:szCs w:val="30"/>
          <w:highlight w:val="none"/>
          <w:lang w:eastAsia="zh-CN"/>
        </w:rPr>
        <w:t>元，事业单位年金缴费支出</w:t>
      </w:r>
      <w:r>
        <w:rPr>
          <w:rFonts w:hint="eastAsia" w:ascii="Times New Roman" w:hAnsi="Times New Roman" w:eastAsia="仿宋_GB2312" w:cs="Arial"/>
          <w:color w:val="auto"/>
          <w:kern w:val="0"/>
          <w:sz w:val="30"/>
          <w:szCs w:val="30"/>
          <w:highlight w:val="none"/>
          <w:lang w:val="en-US" w:eastAsia="zh-CN"/>
        </w:rPr>
        <w:t>320,196.78元，</w:t>
      </w:r>
      <w:r>
        <w:rPr>
          <w:rFonts w:hint="eastAsia" w:ascii="Times New Roman" w:hAnsi="Times New Roman" w:eastAsia="仿宋_GB2312" w:cs="Arial"/>
          <w:color w:val="auto"/>
          <w:kern w:val="0"/>
          <w:sz w:val="30"/>
          <w:szCs w:val="30"/>
          <w:highlight w:val="none"/>
          <w:lang w:eastAsia="zh-CN"/>
        </w:rPr>
        <w:t>死亡抚恤支出</w:t>
      </w:r>
      <w:r>
        <w:rPr>
          <w:rFonts w:hint="eastAsia" w:ascii="Times New Roman" w:hAnsi="Times New Roman" w:eastAsia="仿宋_GB2312" w:cs="Arial"/>
          <w:color w:val="auto"/>
          <w:kern w:val="0"/>
          <w:sz w:val="30"/>
          <w:szCs w:val="30"/>
          <w:highlight w:val="none"/>
          <w:lang w:val="en-US" w:eastAsia="zh-CN"/>
        </w:rPr>
        <w:t>19,440.00元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w:t>
      </w:r>
      <w:r>
        <w:rPr>
          <w:rFonts w:hint="eastAsia" w:ascii="Times New Roman" w:hAnsi="Times New Roman" w:eastAsia="仿宋_GB2312" w:cs="Arial"/>
          <w:color w:val="auto"/>
          <w:kern w:val="0"/>
          <w:sz w:val="30"/>
          <w:szCs w:val="30"/>
          <w:highlight w:val="none"/>
          <w:lang w:val="en-US" w:eastAsia="zh-CN"/>
        </w:rPr>
        <w:t>事业单位离退休未支出</w:t>
      </w:r>
      <w:r>
        <w:rPr>
          <w:rFonts w:hint="eastAsia" w:ascii="Times New Roman" w:hAnsi="Times New Roman" w:eastAsia="仿宋_GB2312" w:cs="Arial"/>
          <w:color w:val="auto"/>
          <w:kern w:val="0"/>
          <w:sz w:val="30"/>
          <w:szCs w:val="30"/>
          <w:highlight w:val="none"/>
          <w:lang w:eastAsia="zh-CN"/>
        </w:rPr>
        <w:t>。</w:t>
      </w:r>
    </w:p>
    <w:p w14:paraId="0704F32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9.卫生健康（类）支出</w:t>
      </w:r>
      <w:r>
        <w:rPr>
          <w:rFonts w:hint="eastAsia" w:ascii="Times New Roman" w:hAnsi="Times New Roman" w:eastAsia="仿宋_GB2312" w:cs="仿宋_GB2312"/>
          <w:color w:val="auto"/>
          <w:kern w:val="0"/>
          <w:sz w:val="30"/>
          <w:lang w:val="zh-CN"/>
        </w:rPr>
        <w:t>498</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748.32</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5.38</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99.86</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主要用于事业单位医疗</w:t>
      </w:r>
      <w:r>
        <w:rPr>
          <w:rFonts w:hint="eastAsia" w:ascii="Times New Roman" w:hAnsi="Times New Roman" w:eastAsia="仿宋_GB2312" w:cs="Arial"/>
          <w:color w:val="auto"/>
          <w:kern w:val="0"/>
          <w:sz w:val="30"/>
          <w:szCs w:val="30"/>
          <w:highlight w:val="none"/>
          <w:lang w:eastAsia="zh-CN"/>
        </w:rPr>
        <w:t>支出</w:t>
      </w:r>
      <w:r>
        <w:rPr>
          <w:rFonts w:hint="eastAsia" w:ascii="Times New Roman" w:hAnsi="Times New Roman" w:eastAsia="仿宋_GB2312" w:cs="Arial"/>
          <w:color w:val="auto"/>
          <w:kern w:val="0"/>
          <w:sz w:val="30"/>
          <w:szCs w:val="30"/>
          <w:highlight w:val="none"/>
          <w:lang w:val="en-US" w:eastAsia="zh-CN"/>
        </w:rPr>
        <w:t>258,788.62</w:t>
      </w:r>
      <w:r>
        <w:rPr>
          <w:rFonts w:hint="eastAsia" w:ascii="Times New Roman" w:hAnsi="Times New Roman" w:eastAsia="仿宋_GB2312" w:cs="Arial"/>
          <w:color w:val="auto"/>
          <w:kern w:val="0"/>
          <w:sz w:val="30"/>
          <w:szCs w:val="30"/>
          <w:highlight w:val="none"/>
          <w:lang w:eastAsia="zh-CN"/>
        </w:rPr>
        <w:t>元，公务员医疗补助支出</w:t>
      </w:r>
      <w:r>
        <w:rPr>
          <w:rFonts w:hint="eastAsia" w:ascii="Times New Roman" w:hAnsi="Times New Roman" w:eastAsia="仿宋_GB2312" w:cs="Arial"/>
          <w:color w:val="auto"/>
          <w:kern w:val="0"/>
          <w:sz w:val="30"/>
          <w:szCs w:val="30"/>
          <w:highlight w:val="none"/>
          <w:lang w:val="en-US" w:eastAsia="zh-CN"/>
        </w:rPr>
        <w:t>209,464.86</w:t>
      </w:r>
      <w:r>
        <w:rPr>
          <w:rFonts w:hint="eastAsia" w:ascii="Times New Roman" w:hAnsi="Times New Roman" w:eastAsia="仿宋_GB2312" w:cs="Arial"/>
          <w:color w:val="auto"/>
          <w:kern w:val="0"/>
          <w:sz w:val="30"/>
          <w:szCs w:val="30"/>
          <w:highlight w:val="none"/>
          <w:lang w:eastAsia="zh-CN"/>
        </w:rPr>
        <w:t>元，其他行政事业单位医疗支出</w:t>
      </w:r>
      <w:r>
        <w:rPr>
          <w:rFonts w:hint="eastAsia" w:ascii="Times New Roman" w:hAnsi="Times New Roman" w:eastAsia="仿宋_GB2312" w:cs="Arial"/>
          <w:color w:val="auto"/>
          <w:kern w:val="0"/>
          <w:sz w:val="30"/>
          <w:szCs w:val="30"/>
          <w:highlight w:val="none"/>
          <w:lang w:val="en-US" w:eastAsia="zh-CN"/>
        </w:rPr>
        <w:t>30,494.84</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w:t>
      </w:r>
      <w:r>
        <w:rPr>
          <w:rFonts w:hint="eastAsia" w:eastAsia="仿宋_GB2312" w:cs="Arial"/>
          <w:color w:val="auto"/>
          <w:kern w:val="0"/>
          <w:sz w:val="30"/>
          <w:szCs w:val="30"/>
          <w:highlight w:val="none"/>
          <w:lang w:val="en-US" w:eastAsia="zh-CN"/>
        </w:rPr>
        <w:t>人员退休，缴费减少</w:t>
      </w:r>
      <w:r>
        <w:rPr>
          <w:rFonts w:hint="eastAsia" w:ascii="Times New Roman" w:hAnsi="Times New Roman" w:eastAsia="仿宋_GB2312" w:cs="Arial"/>
          <w:color w:val="auto"/>
          <w:kern w:val="0"/>
          <w:sz w:val="30"/>
          <w:szCs w:val="30"/>
          <w:highlight w:val="none"/>
          <w:lang w:eastAsia="zh-CN"/>
        </w:rPr>
        <w:t>。</w:t>
      </w:r>
    </w:p>
    <w:p w14:paraId="22A5614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仿宋_GB2312"/>
          <w:color w:val="auto"/>
          <w:kern w:val="0"/>
          <w:sz w:val="30"/>
          <w:lang w:val="en-US"/>
        </w:rPr>
        <w:t>10.节能环保（类）支出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71EEFF5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11.城乡社区（类）支出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3E14DB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12.农林水（类）支出</w:t>
      </w:r>
      <w:r>
        <w:rPr>
          <w:rFonts w:hint="eastAsia" w:ascii="Times New Roman" w:hAnsi="Times New Roman" w:eastAsia="仿宋_GB2312" w:cs="仿宋_GB2312"/>
          <w:color w:val="auto"/>
          <w:kern w:val="0"/>
          <w:sz w:val="30"/>
          <w:lang w:val="zh-CN"/>
        </w:rPr>
        <w:t>7</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553</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768.50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81.48</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200.93</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主要用于事业运行</w:t>
      </w:r>
      <w:r>
        <w:rPr>
          <w:rFonts w:hint="eastAsia" w:ascii="Times New Roman" w:hAnsi="Times New Roman" w:eastAsia="仿宋_GB2312" w:cs="Arial"/>
          <w:color w:val="auto"/>
          <w:kern w:val="0"/>
          <w:sz w:val="30"/>
          <w:szCs w:val="30"/>
          <w:highlight w:val="none"/>
          <w:lang w:eastAsia="zh-CN"/>
        </w:rPr>
        <w:t>支出</w:t>
      </w:r>
      <w:r>
        <w:rPr>
          <w:rFonts w:hint="eastAsia" w:ascii="Times New Roman" w:hAnsi="Times New Roman" w:eastAsia="仿宋_GB2312" w:cs="Arial"/>
          <w:color w:val="auto"/>
          <w:kern w:val="0"/>
          <w:sz w:val="30"/>
          <w:szCs w:val="30"/>
          <w:highlight w:val="none"/>
          <w:lang w:val="en-US" w:eastAsia="zh-CN"/>
        </w:rPr>
        <w:t>3,631,718.50</w:t>
      </w:r>
      <w:r>
        <w:rPr>
          <w:rFonts w:hint="eastAsia" w:ascii="Times New Roman" w:hAnsi="Times New Roman" w:eastAsia="仿宋_GB2312" w:cs="Arial"/>
          <w:color w:val="auto"/>
          <w:kern w:val="0"/>
          <w:sz w:val="30"/>
          <w:szCs w:val="30"/>
          <w:highlight w:val="none"/>
          <w:lang w:eastAsia="zh-CN"/>
        </w:rPr>
        <w:t>元，科技转化与推广服务支出</w:t>
      </w:r>
      <w:r>
        <w:rPr>
          <w:rFonts w:hint="eastAsia" w:ascii="Times New Roman" w:hAnsi="Times New Roman" w:eastAsia="仿宋_GB2312" w:cs="Arial"/>
          <w:color w:val="auto"/>
          <w:kern w:val="0"/>
          <w:sz w:val="30"/>
          <w:szCs w:val="30"/>
          <w:highlight w:val="none"/>
          <w:lang w:val="en-US" w:eastAsia="zh-CN"/>
        </w:rPr>
        <w:t>6,500.00元，</w:t>
      </w:r>
      <w:r>
        <w:rPr>
          <w:rFonts w:hint="eastAsia" w:ascii="Times New Roman" w:hAnsi="Times New Roman" w:eastAsia="仿宋_GB2312" w:cs="Arial"/>
          <w:color w:val="auto"/>
          <w:kern w:val="0"/>
          <w:sz w:val="30"/>
          <w:szCs w:val="30"/>
          <w:highlight w:val="none"/>
          <w:lang w:eastAsia="zh-CN"/>
        </w:rPr>
        <w:t>农业生产发展支出</w:t>
      </w:r>
      <w:r>
        <w:rPr>
          <w:rFonts w:hint="eastAsia" w:ascii="Times New Roman" w:hAnsi="Times New Roman" w:eastAsia="仿宋_GB2312" w:cs="Arial"/>
          <w:color w:val="auto"/>
          <w:kern w:val="0"/>
          <w:sz w:val="30"/>
          <w:szCs w:val="30"/>
          <w:highlight w:val="none"/>
          <w:lang w:val="en-US" w:eastAsia="zh-CN"/>
        </w:rPr>
        <w:t>2,145,550.00元</w:t>
      </w:r>
      <w:r>
        <w:rPr>
          <w:rFonts w:hint="eastAsia" w:ascii="Times New Roman" w:hAnsi="Times New Roman" w:eastAsia="仿宋_GB2312" w:cs="Arial"/>
          <w:color w:val="auto"/>
          <w:kern w:val="0"/>
          <w:sz w:val="30"/>
          <w:szCs w:val="30"/>
          <w:highlight w:val="none"/>
          <w:lang w:eastAsia="zh-CN"/>
        </w:rPr>
        <w:t>，耕地建设与利用支出</w:t>
      </w:r>
      <w:r>
        <w:rPr>
          <w:rFonts w:hint="eastAsia" w:ascii="Times New Roman" w:hAnsi="Times New Roman" w:eastAsia="仿宋_GB2312" w:cs="Arial"/>
          <w:color w:val="auto"/>
          <w:kern w:val="0"/>
          <w:sz w:val="30"/>
          <w:szCs w:val="30"/>
          <w:highlight w:val="none"/>
          <w:lang w:val="en-US" w:eastAsia="zh-CN"/>
        </w:rPr>
        <w:t>1,770,000.00元，</w:t>
      </w:r>
      <w:r>
        <w:rPr>
          <w:rFonts w:hint="eastAsia" w:ascii="Times New Roman" w:hAnsi="Times New Roman" w:eastAsia="仿宋_GB2312" w:cs="Arial"/>
          <w:color w:val="auto"/>
          <w:kern w:val="0"/>
          <w:sz w:val="30"/>
          <w:szCs w:val="30"/>
          <w:highlight w:val="none"/>
          <w:lang w:eastAsia="zh-CN"/>
        </w:rPr>
        <w:t>造成预决算差异的主要原因是，项目经费农业生产发展支出增加。</w:t>
      </w:r>
    </w:p>
    <w:p w14:paraId="4EF60A32">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13.交通运输（类）支出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22B5582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14.资源勘探工业信息等（类）支出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3E21AF3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15.商业服务业等（类）支出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B7B427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16.金融（类）支出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1C15D63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17.援助其他地区（类）支出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37A247F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18.自然资源海洋气象等（类）支出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083AAE6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19.住房保障（类）支出</w:t>
      </w:r>
      <w:r>
        <w:rPr>
          <w:rFonts w:hint="eastAsia" w:ascii="Times New Roman" w:hAnsi="Times New Roman" w:eastAsia="仿宋_GB2312" w:cs="仿宋_GB2312"/>
          <w:color w:val="auto"/>
          <w:kern w:val="0"/>
          <w:sz w:val="30"/>
          <w:lang w:val="zh-CN"/>
        </w:rPr>
        <w:t>375</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590.00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4.05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95.04</w:t>
      </w:r>
      <w:r>
        <w:rPr>
          <w:rFonts w:hint="eastAsia" w:ascii="Times New Roman" w:hAnsi="Times New Roman" w:eastAsia="仿宋_GB2312"/>
          <w:color w:val="auto"/>
          <w:sz w:val="30"/>
          <w:szCs w:val="30"/>
          <w:highlight w:val="none"/>
          <w:lang w:val="en-US" w:eastAsia="zh-CN"/>
        </w:rPr>
        <w:t>%，主要用于</w:t>
      </w:r>
      <w:r>
        <w:rPr>
          <w:rFonts w:hint="eastAsia" w:ascii="Times New Roman" w:hAnsi="Times New Roman" w:eastAsia="仿宋_GB2312" w:cs="Arial"/>
          <w:color w:val="auto"/>
          <w:kern w:val="0"/>
          <w:sz w:val="30"/>
          <w:szCs w:val="30"/>
          <w:highlight w:val="none"/>
        </w:rPr>
        <w:t>住房公积金</w:t>
      </w:r>
      <w:r>
        <w:rPr>
          <w:rFonts w:hint="eastAsia" w:ascii="Times New Roman" w:hAnsi="Times New Roman" w:eastAsia="仿宋_GB2312" w:cs="Arial"/>
          <w:color w:val="auto"/>
          <w:kern w:val="0"/>
          <w:sz w:val="30"/>
          <w:szCs w:val="30"/>
          <w:highlight w:val="none"/>
          <w:lang w:eastAsia="zh-CN"/>
        </w:rPr>
        <w:t>支出</w:t>
      </w:r>
      <w:r>
        <w:rPr>
          <w:rFonts w:hint="eastAsia" w:ascii="Times New Roman" w:hAnsi="Times New Roman" w:eastAsia="仿宋_GB2312" w:cs="Arial"/>
          <w:color w:val="auto"/>
          <w:kern w:val="0"/>
          <w:sz w:val="30"/>
          <w:szCs w:val="30"/>
          <w:highlight w:val="none"/>
          <w:lang w:val="en-US" w:eastAsia="zh-CN"/>
        </w:rPr>
        <w:t>375,590.00元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造成预决算差异的主要原因是人员减少，住房公积金支出减少。</w:t>
      </w:r>
    </w:p>
    <w:p w14:paraId="38C3AA4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20.粮油物资储备（类）支出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FBF595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21.国有资本经营预算（类）支出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5CEC60F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22.灾害防治及应急管理（类）支出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23214093">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23.其他（类）支出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1EC0E0DD">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24.债务还本（类）支出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3905C2C5">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25.债务付息（类）支出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22DA867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kern w:val="0"/>
          <w:sz w:val="30"/>
          <w:lang w:val="en-US"/>
        </w:rPr>
        <w:t>26.抗疫特别国债安排（类）支出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r>
        <w:rPr>
          <w:rFonts w:hint="eastAsia" w:ascii="Times New Roman" w:hAnsi="Times New Roman" w:eastAsia="仿宋_GB2312" w:cs="Arial"/>
          <w:color w:val="auto"/>
          <w:kern w:val="0"/>
          <w:sz w:val="30"/>
          <w:szCs w:val="30"/>
          <w:highlight w:val="none"/>
          <w:lang w:eastAsia="zh-CN"/>
        </w:rPr>
        <w:t>。</w:t>
      </w:r>
    </w:p>
    <w:p w14:paraId="06F2EEAC">
      <w:pPr>
        <w:widowControl/>
        <w:numPr>
          <w:ilvl w:val="0"/>
          <w:numId w:val="1"/>
        </w:numPr>
        <w:snapToGrid w:val="0"/>
        <w:spacing w:before="100" w:after="100" w:line="360" w:lineRule="auto"/>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财政拨款“三公”经费支出决算情况说明</w:t>
      </w:r>
    </w:p>
    <w:p w14:paraId="5A3ADD5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（一）总体情况</w:t>
      </w:r>
    </w:p>
    <w:p w14:paraId="406C5D5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lang w:val="en-US" w:eastAsia="zh-CN"/>
        </w:rPr>
        <w:t>2025年度</w:t>
      </w:r>
      <w:r>
        <w:rPr>
          <w:rFonts w:hint="eastAsia" w:ascii="Times New Roman" w:hAnsi="Times New Roman" w:eastAsia="仿宋_GB2312" w:cs="Arial"/>
          <w:color w:val="auto"/>
          <w:kern w:val="0"/>
          <w:sz w:val="30"/>
          <w:szCs w:val="30"/>
          <w:highlight w:val="none"/>
        </w:rPr>
        <w:t>财政拨款“三公”经费支出决算中，财政拨款“三公”经费支出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kern w:val="0"/>
          <w:sz w:val="30"/>
          <w:lang w:val="en-US" w:eastAsia="zh-CN"/>
        </w:rPr>
        <w:t>16,800.00</w:t>
      </w:r>
      <w:r>
        <w:rPr>
          <w:rFonts w:hint="eastAsia" w:ascii="Times New Roman" w:hAnsi="Times New Roman" w:eastAsia="仿宋_GB2312" w:cs="Arial"/>
          <w:color w:val="auto"/>
          <w:kern w:val="0"/>
          <w:sz w:val="30"/>
          <w:szCs w:val="30"/>
          <w:highlight w:val="none"/>
        </w:rPr>
        <w:t>元，决算为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；支出决算较上年</w:t>
      </w:r>
      <w:r>
        <w:rPr>
          <w:rFonts w:hint="eastAsia" w:ascii="Times New Roman" w:hAnsi="Times New Roman" w:eastAsia="仿宋_GB2312" w:cs="Arial"/>
          <w:color w:val="auto"/>
          <w:kern w:val="0"/>
          <w:sz w:val="30"/>
          <w:szCs w:val="30"/>
          <w:highlight w:val="none"/>
          <w:lang w:val="en-US" w:eastAsia="zh-CN"/>
        </w:rPr>
        <w:t>减少</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184.00</w:t>
      </w:r>
      <w:r>
        <w:rPr>
          <w:rFonts w:hint="eastAsia" w:ascii="Times New Roman" w:hAnsi="Times New Roman" w:eastAsia="仿宋_GB2312" w:cs="Arial"/>
          <w:color w:val="auto"/>
          <w:kern w:val="0"/>
          <w:sz w:val="30"/>
          <w:szCs w:val="30"/>
          <w:highlight w:val="none"/>
          <w:lang w:val="en-US" w:eastAsia="zh-CN"/>
        </w:rPr>
        <w:t>元，下降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lang w:val="en-US" w:eastAsia="zh-CN"/>
        </w:rPr>
        <w:t>%</w:t>
      </w:r>
    </w:p>
    <w:p w14:paraId="75A2921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rPr>
        <w:t>因公出国（境）费</w:t>
      </w:r>
      <w:r>
        <w:rPr>
          <w:rFonts w:hint="eastAsia" w:ascii="Times New Roman" w:hAnsi="Times New Roman" w:eastAsia="仿宋_GB2312" w:cs="Arial"/>
          <w:color w:val="auto"/>
          <w:kern w:val="0"/>
          <w:sz w:val="30"/>
          <w:szCs w:val="30"/>
          <w:highlight w:val="none"/>
          <w:lang w:val="en-US" w:eastAsia="zh-CN"/>
        </w:rPr>
        <w:t>用用</w:t>
      </w:r>
      <w:r>
        <w:rPr>
          <w:rFonts w:hint="eastAsia" w:ascii="Times New Roman" w:hAnsi="Times New Roman" w:eastAsia="仿宋_GB2312" w:cs="Arial"/>
          <w:color w:val="auto"/>
          <w:kern w:val="0"/>
          <w:sz w:val="30"/>
          <w:szCs w:val="30"/>
          <w:highlight w:val="none"/>
        </w:rPr>
        <w:t>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%；公务用车购置费支出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%；公务用车</w:t>
      </w:r>
      <w:r>
        <w:rPr>
          <w:rFonts w:hint="eastAsia" w:ascii="Times New Roman" w:hAnsi="Times New Roman" w:eastAsia="仿宋_GB2312" w:cs="Arial"/>
          <w:color w:val="auto"/>
          <w:kern w:val="0"/>
          <w:sz w:val="30"/>
          <w:szCs w:val="30"/>
          <w:highlight w:val="none"/>
          <w:lang w:eastAsia="zh-CN"/>
        </w:rPr>
        <w:t>运行维护</w:t>
      </w:r>
      <w:r>
        <w:rPr>
          <w:rFonts w:hint="eastAsia" w:ascii="Times New Roman" w:hAnsi="Times New Roman" w:eastAsia="仿宋_GB2312" w:cs="Arial"/>
          <w:color w:val="auto"/>
          <w:kern w:val="0"/>
          <w:sz w:val="30"/>
          <w:szCs w:val="30"/>
          <w:highlight w:val="none"/>
        </w:rPr>
        <w:t>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rPr>
        <w:t>公务接待费支出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16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，完成年初预算的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3080A2C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公务用车购置费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公务接待费</w:t>
      </w:r>
      <w:r>
        <w:rPr>
          <w:rFonts w:hint="eastAsia" w:ascii="Times New Roman" w:hAnsi="Times New Roman" w:eastAsia="仿宋_GB2312" w:cs="Arial"/>
          <w:color w:val="auto"/>
          <w:kern w:val="0"/>
          <w:sz w:val="30"/>
          <w:szCs w:val="30"/>
          <w:highlight w:val="none"/>
          <w:lang w:eastAsia="zh-CN"/>
        </w:rPr>
        <w:t>支出决算较上年</w:t>
      </w:r>
      <w:r>
        <w:rPr>
          <w:rFonts w:hint="eastAsia" w:ascii="Times New Roman" w:hAnsi="Times New Roman" w:eastAsia="仿宋_GB2312" w:cs="Arial"/>
          <w:color w:val="auto"/>
          <w:kern w:val="0"/>
          <w:sz w:val="30"/>
          <w:szCs w:val="30"/>
          <w:highlight w:val="none"/>
          <w:lang w:val="en-US" w:eastAsia="zh-CN"/>
        </w:rPr>
        <w:t>减少</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184.00</w:t>
      </w:r>
      <w:r>
        <w:rPr>
          <w:rFonts w:hint="eastAsia" w:ascii="Times New Roman" w:hAnsi="Times New Roman" w:eastAsia="仿宋_GB2312" w:cs="Arial"/>
          <w:color w:val="auto"/>
          <w:kern w:val="0"/>
          <w:sz w:val="30"/>
          <w:szCs w:val="30"/>
          <w:highlight w:val="none"/>
          <w:lang w:val="en-US" w:eastAsia="zh-CN"/>
        </w:rPr>
        <w:t>元，下降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w:t>
      </w:r>
      <w:r>
        <w:rPr>
          <w:rFonts w:hint="eastAsia" w:ascii="Times New Roman" w:hAnsi="Times New Roman" w:eastAsia="仿宋_GB2312" w:cs="Arial"/>
          <w:color w:val="auto"/>
          <w:kern w:val="0"/>
          <w:sz w:val="30"/>
          <w:szCs w:val="30"/>
          <w:highlight w:val="none"/>
          <w:lang w:val="en-US" w:eastAsia="zh-CN"/>
        </w:rPr>
        <w:t>减少</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184.00</w:t>
      </w:r>
      <w:r>
        <w:rPr>
          <w:rFonts w:hint="eastAsia" w:ascii="Times New Roman" w:hAnsi="Times New Roman" w:eastAsia="仿宋_GB2312" w:cs="Arial"/>
          <w:color w:val="auto"/>
          <w:kern w:val="0"/>
          <w:sz w:val="30"/>
          <w:szCs w:val="30"/>
          <w:highlight w:val="none"/>
          <w:lang w:val="en-US" w:eastAsia="zh-CN"/>
        </w:rPr>
        <w:t>元，下降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p>
    <w:p w14:paraId="66D82F3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（二）一般公共预算财政拨款“三公”经费支出决算情况说明</w:t>
      </w:r>
    </w:p>
    <w:p w14:paraId="295A5E5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16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，支出决算为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s="Arial"/>
          <w:color w:val="auto"/>
          <w:kern w:val="0"/>
          <w:sz w:val="30"/>
          <w:szCs w:val="30"/>
          <w:highlight w:val="none"/>
          <w:lang w:eastAsia="zh-CN"/>
        </w:rPr>
        <w:t>支出决算较上年</w:t>
      </w:r>
      <w:r>
        <w:rPr>
          <w:rFonts w:hint="eastAsia" w:ascii="Times New Roman" w:hAnsi="Times New Roman" w:eastAsia="仿宋_GB2312" w:cs="Arial"/>
          <w:color w:val="auto"/>
          <w:kern w:val="0"/>
          <w:sz w:val="30"/>
          <w:szCs w:val="30"/>
          <w:highlight w:val="none"/>
          <w:lang w:val="en-US" w:eastAsia="zh-CN"/>
        </w:rPr>
        <w:t>减少</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184.00</w:t>
      </w:r>
      <w:r>
        <w:rPr>
          <w:rFonts w:hint="eastAsia" w:ascii="Times New Roman" w:hAnsi="Times New Roman" w:eastAsia="仿宋_GB2312" w:cs="Arial"/>
          <w:color w:val="auto"/>
          <w:kern w:val="0"/>
          <w:sz w:val="30"/>
          <w:szCs w:val="30"/>
          <w:highlight w:val="none"/>
          <w:lang w:val="en-US" w:eastAsia="zh-CN"/>
        </w:rPr>
        <w:t>元，下降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w:t>
      </w:r>
    </w:p>
    <w:p w14:paraId="2B5B612D">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，；公务用车购置费支出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；公务接待费支出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16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一般公共预算财政拨款“三公”经费支出决算数小于</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预算数的主要原因</w:t>
      </w:r>
      <w:r>
        <w:rPr>
          <w:rFonts w:hint="eastAsia" w:ascii="Times New Roman" w:hAnsi="Times New Roman" w:eastAsia="仿宋_GB2312"/>
          <w:color w:val="auto"/>
          <w:sz w:val="30"/>
          <w:szCs w:val="30"/>
          <w:highlight w:val="none"/>
          <w:lang w:eastAsia="zh-CN"/>
        </w:rPr>
        <w:t>是厉行节约，减少公务接待</w:t>
      </w:r>
      <w:r>
        <w:rPr>
          <w:rFonts w:hint="eastAsia" w:ascii="Times New Roman" w:hAnsi="Times New Roman" w:eastAsia="仿宋_GB2312"/>
          <w:color w:val="auto"/>
          <w:sz w:val="30"/>
          <w:szCs w:val="30"/>
          <w:highlight w:val="none"/>
        </w:rPr>
        <w:t>。</w:t>
      </w:r>
    </w:p>
    <w:p w14:paraId="5098FCE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；公务用车购置费支出决算增加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；公务接待费支出决算减少</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184.00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，下降</w:t>
      </w:r>
      <w:r>
        <w:rPr>
          <w:rFonts w:hint="eastAsia" w:ascii="Times New Roman" w:hAnsi="Times New Roman" w:eastAsia="仿宋_GB2312" w:cs="仿宋_GB2312"/>
          <w:color w:val="auto"/>
          <w:sz w:val="30"/>
          <w:lang w:val="zh-CN"/>
        </w:rPr>
        <w:t>100.00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w:t>
      </w:r>
      <w:r>
        <w:rPr>
          <w:rFonts w:hint="eastAsia" w:ascii="Times New Roman" w:hAnsi="Times New Roman" w:eastAsia="仿宋_GB2312" w:cs="Arial"/>
          <w:color w:val="auto"/>
          <w:kern w:val="0"/>
          <w:sz w:val="30"/>
          <w:szCs w:val="30"/>
          <w:highlight w:val="none"/>
          <w:lang w:val="en-US" w:eastAsia="zh-CN"/>
        </w:rPr>
        <w:t>减少1,184.00元，下降100.00%</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Arial"/>
          <w:color w:val="auto"/>
          <w:kern w:val="0"/>
          <w:sz w:val="30"/>
          <w:szCs w:val="30"/>
          <w:highlight w:val="none"/>
          <w:lang w:val="en-US" w:eastAsia="zh-CN"/>
        </w:rPr>
        <w:t>0.00元，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一般公共预算财政拨款“三公”经费支出决算减少的主要原因</w:t>
      </w:r>
      <w:r>
        <w:rPr>
          <w:rFonts w:hint="eastAsia" w:ascii="Times New Roman" w:hAnsi="Times New Roman" w:eastAsia="仿宋_GB2312"/>
          <w:color w:val="auto"/>
          <w:sz w:val="30"/>
          <w:szCs w:val="30"/>
          <w:highlight w:val="none"/>
          <w:lang w:eastAsia="zh-CN"/>
        </w:rPr>
        <w:t>是厉行节约，减少公务接待</w:t>
      </w:r>
      <w:r>
        <w:rPr>
          <w:rFonts w:hint="eastAsia" w:ascii="Times New Roman" w:hAnsi="Times New Roman" w:eastAsia="仿宋_GB2312"/>
          <w:color w:val="auto"/>
          <w:sz w:val="30"/>
          <w:szCs w:val="30"/>
          <w:highlight w:val="none"/>
        </w:rPr>
        <w:t>。</w:t>
      </w:r>
    </w:p>
    <w:p w14:paraId="38225FB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实物量的</w:t>
      </w:r>
      <w:r>
        <w:rPr>
          <w:rFonts w:hint="eastAsia" w:ascii="Times New Roman" w:hAnsi="Times New Roman" w:eastAsia="仿宋_GB2312"/>
          <w:color w:val="auto"/>
          <w:sz w:val="30"/>
          <w:szCs w:val="30"/>
          <w:highlight w:val="none"/>
        </w:rPr>
        <w:t>具体情况</w:t>
      </w:r>
      <w:r>
        <w:rPr>
          <w:rFonts w:hint="eastAsia" w:ascii="Times New Roman" w:hAnsi="Times New Roman" w:eastAsia="仿宋_GB2312"/>
          <w:color w:val="auto"/>
          <w:sz w:val="30"/>
          <w:szCs w:val="30"/>
          <w:highlight w:val="none"/>
          <w:lang w:eastAsia="zh-CN"/>
        </w:rPr>
        <w:t>：</w:t>
      </w:r>
    </w:p>
    <w:p w14:paraId="1ABE59C0">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1.安排因公出国（境）团组</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个，累计</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人次。</w:t>
      </w:r>
    </w:p>
    <w:p w14:paraId="192FDB4C">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2.购置车辆</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辆。开支一般公共预算财政拨款的公务用车保有量为</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w:t>
      </w:r>
    </w:p>
    <w:p w14:paraId="09EA188F">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b w:val="0"/>
          <w:bCs/>
          <w:color w:val="auto"/>
          <w:sz w:val="30"/>
          <w:szCs w:val="30"/>
          <w:highlight w:val="none"/>
        </w:rPr>
        <w:t>3.安排</w:t>
      </w:r>
      <w:r>
        <w:rPr>
          <w:rFonts w:hint="eastAsia" w:ascii="Times New Roman" w:hAnsi="Times New Roman" w:eastAsia="仿宋_GB2312"/>
          <w:color w:val="auto"/>
          <w:sz w:val="30"/>
          <w:szCs w:val="30"/>
          <w:highlight w:val="none"/>
        </w:rPr>
        <w:t>国内公务接待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批次（其中：外事接待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人（其中：外事接待人次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人）。安排国（境）外公务接待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w:t>
      </w:r>
    </w:p>
    <w:p w14:paraId="0CD6D405">
      <w:pPr>
        <w:widowControl/>
        <w:snapToGrid w:val="0"/>
        <w:spacing w:before="100" w:after="100" w:line="360" w:lineRule="auto"/>
        <w:ind w:firstLine="600" w:firstLineChars="200"/>
        <w:jc w:val="left"/>
        <w:outlineLvl w:val="2"/>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（三）需要说明的事项</w:t>
      </w:r>
    </w:p>
    <w:p w14:paraId="1D4FCCC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lang w:eastAsia="zh-CN"/>
        </w:rPr>
        <w:t>不存在需要说明的事项</w:t>
      </w:r>
    </w:p>
    <w:p w14:paraId="5D7230C8">
      <w:pPr>
        <w:widowControl/>
        <w:snapToGrid w:val="0"/>
        <w:spacing w:before="100" w:after="100" w:line="360" w:lineRule="auto"/>
        <w:ind w:firstLine="640" w:firstLineChars="200"/>
        <w:jc w:val="left"/>
        <w:outlineLvl w:val="0"/>
        <w:rPr>
          <w:rFonts w:hint="eastAsia" w:ascii="Times New Roman" w:hAnsi="Times New Roman" w:eastAsia="仿宋_GB2312"/>
          <w:color w:val="auto"/>
          <w:sz w:val="32"/>
          <w:szCs w:val="32"/>
          <w:highlight w:val="none"/>
        </w:rPr>
      </w:pPr>
      <w:r>
        <w:rPr>
          <w:rFonts w:hint="eastAsia" w:ascii="Times New Roman" w:hAnsi="Times New Roman" w:eastAsia="黑体" w:cs="方正小标宋简体"/>
          <w:color w:val="auto"/>
          <w:sz w:val="32"/>
          <w:szCs w:val="32"/>
          <w:highlight w:val="none"/>
        </w:rPr>
        <w:t xml:space="preserve">第四部分  </w:t>
      </w:r>
      <w:r>
        <w:rPr>
          <w:rFonts w:hint="eastAsia" w:ascii="Times New Roman" w:hAnsi="Times New Roman" w:eastAsia="黑体"/>
          <w:color w:val="auto"/>
          <w:sz w:val="32"/>
          <w:szCs w:val="32"/>
          <w:highlight w:val="none"/>
        </w:rPr>
        <w:t>其他重要事项及相关口径情况说明</w:t>
      </w:r>
    </w:p>
    <w:p w14:paraId="2D7F8AF1">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rPr>
        <w:t>一</w:t>
      </w:r>
      <w:r>
        <w:rPr>
          <w:rFonts w:hint="eastAsia" w:ascii="Times New Roman" w:hAnsi="Times New Roman" w:eastAsia="黑体" w:cs="黑体"/>
          <w:color w:val="auto"/>
          <w:sz w:val="30"/>
          <w:szCs w:val="30"/>
          <w:highlight w:val="none"/>
          <w:lang w:eastAsia="zh-CN"/>
        </w:rPr>
        <w:t>、</w:t>
      </w:r>
      <w:r>
        <w:rPr>
          <w:rFonts w:hint="eastAsia" w:ascii="Times New Roman" w:hAnsi="Times New Roman" w:eastAsia="黑体" w:cs="黑体"/>
          <w:color w:val="auto"/>
          <w:sz w:val="30"/>
          <w:szCs w:val="30"/>
          <w:highlight w:val="none"/>
        </w:rPr>
        <w:t>机关运行经费支出情况</w:t>
      </w:r>
    </w:p>
    <w:p w14:paraId="571B89E2">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s="方正小标宋简体"/>
          <w:color w:val="auto"/>
          <w:sz w:val="30"/>
          <w:szCs w:val="30"/>
          <w:highlight w:val="none"/>
          <w:lang w:val="en-US" w:eastAsia="zh-CN"/>
        </w:rPr>
        <w:t>2025</w:t>
      </w:r>
      <w:r>
        <w:rPr>
          <w:rFonts w:hint="eastAsia" w:ascii="Times New Roman" w:hAnsi="Times New Roman" w:eastAsia="仿宋_GB2312" w:cs="方正小标宋简体"/>
          <w:color w:val="auto"/>
          <w:sz w:val="30"/>
          <w:szCs w:val="30"/>
          <w:highlight w:val="none"/>
        </w:rPr>
        <w:t>年机关运行经费支出</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方正小标宋简体"/>
          <w:color w:val="auto"/>
          <w:sz w:val="30"/>
          <w:szCs w:val="30"/>
          <w:highlight w:val="none"/>
          <w:lang w:eastAsia="zh-CN"/>
        </w:rPr>
        <w:t>元</w:t>
      </w:r>
      <w:r>
        <w:rPr>
          <w:rFonts w:hint="eastAsia" w:ascii="Times New Roman" w:hAnsi="Times New Roman" w:eastAsia="仿宋_GB2312" w:cs="方正小标宋简体"/>
          <w:color w:val="auto"/>
          <w:sz w:val="30"/>
          <w:szCs w:val="30"/>
          <w:highlight w:val="none"/>
        </w:rPr>
        <w:t>，</w:t>
      </w:r>
      <w:r>
        <w:rPr>
          <w:rFonts w:hint="eastAsia" w:ascii="Times New Roman" w:hAnsi="Times New Roman" w:eastAsia="仿宋_GB2312" w:cs="方正小标宋简体"/>
          <w:color w:val="auto"/>
          <w:sz w:val="30"/>
          <w:szCs w:val="30"/>
          <w:highlight w:val="none"/>
          <w:lang w:eastAsia="zh-CN"/>
        </w:rPr>
        <w:t>比上年</w:t>
      </w:r>
      <w:r>
        <w:rPr>
          <w:rFonts w:hint="eastAsia" w:ascii="Times New Roman" w:hAnsi="Times New Roman" w:eastAsia="仿宋_GB2312"/>
          <w:color w:val="auto"/>
          <w:sz w:val="30"/>
          <w:szCs w:val="30"/>
          <w:highlight w:val="none"/>
        </w:rPr>
        <w:t>增加</w:t>
      </w:r>
      <w:r>
        <w:rPr>
          <w:rFonts w:hint="eastAsia" w:ascii="Times New Roman" w:hAnsi="Times New Roman" w:eastAsia="仿宋_GB2312"/>
          <w:color w:val="auto"/>
          <w:sz w:val="30"/>
          <w:szCs w:val="30"/>
          <w:highlight w:val="none"/>
          <w:lang w:val="en-US" w:eastAsia="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rPr>
        <w:t>主要原因是</w:t>
      </w: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olor w:val="auto"/>
          <w:sz w:val="30"/>
          <w:szCs w:val="30"/>
          <w:highlight w:val="none"/>
          <w:lang w:val="en-US"/>
        </w:rPr>
        <w:t>为事业单位，无机关运行经费</w:t>
      </w:r>
      <w:r>
        <w:rPr>
          <w:rFonts w:hint="eastAsia" w:ascii="Times New Roman" w:hAnsi="Times New Roman" w:eastAsia="仿宋_GB2312"/>
          <w:color w:val="auto"/>
          <w:sz w:val="30"/>
          <w:szCs w:val="30"/>
          <w:highlight w:val="none"/>
          <w:lang w:val="en-US" w:eastAsia="zh-CN"/>
        </w:rPr>
        <w:t>。</w:t>
      </w:r>
    </w:p>
    <w:p w14:paraId="0C23C3D3">
      <w:pPr>
        <w:widowControl/>
        <w:ind w:firstLine="600" w:firstLineChars="200"/>
        <w:outlineLvl w:val="1"/>
        <w:rPr>
          <w:rFonts w:hint="eastAsia" w:ascii="Times New Roman" w:hAnsi="Times New Roman" w:eastAsia="黑体" w:cs="黑体"/>
          <w:color w:val="auto"/>
          <w:kern w:val="0"/>
          <w:sz w:val="30"/>
          <w:szCs w:val="30"/>
          <w:highlight w:val="none"/>
        </w:rPr>
      </w:pPr>
      <w:r>
        <w:rPr>
          <w:rFonts w:hint="eastAsia" w:ascii="Times New Roman" w:hAnsi="Times New Roman" w:eastAsia="黑体" w:cs="黑体"/>
          <w:color w:val="auto"/>
          <w:kern w:val="0"/>
          <w:sz w:val="30"/>
          <w:szCs w:val="30"/>
          <w:highlight w:val="none"/>
          <w:lang w:eastAsia="zh-CN"/>
        </w:rPr>
        <w:t>二、</w:t>
      </w:r>
      <w:r>
        <w:rPr>
          <w:rFonts w:hint="eastAsia" w:ascii="Times New Roman" w:hAnsi="Times New Roman" w:eastAsia="黑体" w:cs="黑体"/>
          <w:color w:val="auto"/>
          <w:kern w:val="0"/>
          <w:sz w:val="30"/>
          <w:szCs w:val="30"/>
          <w:highlight w:val="none"/>
        </w:rPr>
        <w:t>国有资产占用情况</w:t>
      </w:r>
    </w:p>
    <w:p w14:paraId="29CBF5F0">
      <w:pPr>
        <w:widowControl/>
        <w:ind w:firstLine="600" w:firstLineChars="200"/>
        <w:rPr>
          <w:rFonts w:hint="eastAsia" w:ascii="Times New Roman" w:hAnsi="Times New Roman" w:eastAsia="仿宋_GB2312" w:cs="方正小标宋简体"/>
          <w:color w:val="auto"/>
          <w:kern w:val="0"/>
          <w:sz w:val="30"/>
          <w:szCs w:val="30"/>
          <w:highlight w:val="none"/>
        </w:rPr>
      </w:pPr>
      <w:r>
        <w:rPr>
          <w:rFonts w:hint="eastAsia" w:ascii="Times New Roman" w:hAnsi="Times New Roman" w:eastAsia="仿宋_GB2312" w:cs="仿宋_GB2312"/>
          <w:color w:val="auto"/>
          <w:sz w:val="30"/>
          <w:szCs w:val="30"/>
          <w:highlight w:val="none"/>
          <w:lang w:eastAsia="zh-CN"/>
        </w:rPr>
        <w:t>截至202</w:t>
      </w:r>
      <w:r>
        <w:rPr>
          <w:rFonts w:hint="eastAsia" w:ascii="Times New Roman" w:hAnsi="Times New Roman" w:eastAsia="仿宋_GB2312" w:cs="仿宋_GB2312"/>
          <w:color w:val="auto"/>
          <w:sz w:val="30"/>
          <w:szCs w:val="30"/>
          <w:highlight w:val="none"/>
          <w:lang w:val="en-US" w:eastAsia="zh-CN"/>
        </w:rPr>
        <w:t>5</w:t>
      </w:r>
      <w:r>
        <w:rPr>
          <w:rFonts w:hint="eastAsia" w:ascii="Times New Roman" w:hAnsi="Times New Roman" w:eastAsia="仿宋_GB2312" w:cs="仿宋_GB2312"/>
          <w:color w:val="auto"/>
          <w:sz w:val="30"/>
          <w:szCs w:val="30"/>
          <w:highlight w:val="none"/>
          <w:lang w:eastAsia="zh-CN"/>
        </w:rPr>
        <w:t>年末，</w:t>
      </w:r>
      <w:r>
        <w:rPr>
          <w:rFonts w:hint="eastAsia" w:ascii="Times New Roman" w:hAnsi="Times New Roman" w:eastAsia="仿宋_GB2312" w:cs="仿宋_GB2312"/>
          <w:color w:val="auto"/>
          <w:sz w:val="30"/>
          <w:lang w:val="zh-CN"/>
        </w:rPr>
        <w:t>华宁县农业科学技术服务中心</w:t>
      </w:r>
      <w:r>
        <w:rPr>
          <w:rFonts w:hint="eastAsia" w:ascii="Times New Roman" w:hAnsi="Times New Roman" w:eastAsia="仿宋_GB2312" w:cs="仿宋_GB2312"/>
          <w:color w:val="auto"/>
          <w:sz w:val="30"/>
          <w:szCs w:val="30"/>
          <w:highlight w:val="none"/>
          <w:lang w:eastAsia="zh-CN"/>
        </w:rPr>
        <w:t>资产总额</w:t>
      </w:r>
      <w:r>
        <w:rPr>
          <w:rFonts w:hint="eastAsia" w:ascii="Times New Roman" w:hAnsi="Times New Roman" w:eastAsia="仿宋_GB2312" w:cs="仿宋_GB2312"/>
          <w:color w:val="auto"/>
          <w:sz w:val="30"/>
          <w:szCs w:val="30"/>
          <w:highlight w:val="none"/>
          <w:lang w:val="en-US" w:eastAsia="zh-CN"/>
        </w:rPr>
        <w:t>13,990,272.94</w:t>
      </w:r>
      <w:r>
        <w:rPr>
          <w:rFonts w:hint="eastAsia" w:ascii="Times New Roman" w:hAnsi="Times New Roman" w:eastAsia="仿宋_GB2312" w:cs="仿宋_GB2312"/>
          <w:color w:val="auto"/>
          <w:sz w:val="30"/>
          <w:szCs w:val="30"/>
          <w:highlight w:val="none"/>
          <w:lang w:eastAsia="zh-CN"/>
        </w:rPr>
        <w:t>元，其中，流动资产</w:t>
      </w:r>
      <w:r>
        <w:rPr>
          <w:rFonts w:hint="eastAsia" w:ascii="Times New Roman" w:hAnsi="Times New Roman" w:eastAsia="仿宋_GB2312" w:cs="仿宋_GB2312"/>
          <w:color w:val="auto"/>
          <w:sz w:val="30"/>
          <w:szCs w:val="30"/>
          <w:highlight w:val="none"/>
          <w:lang w:val="en-US" w:eastAsia="zh-CN"/>
        </w:rPr>
        <w:t>630,447.50</w:t>
      </w:r>
      <w:r>
        <w:rPr>
          <w:rFonts w:hint="eastAsia" w:ascii="Times New Roman" w:hAnsi="Times New Roman" w:eastAsia="仿宋_GB2312" w:cs="仿宋_GB2312"/>
          <w:color w:val="auto"/>
          <w:sz w:val="30"/>
          <w:szCs w:val="30"/>
          <w:highlight w:val="none"/>
          <w:lang w:eastAsia="zh-CN"/>
        </w:rPr>
        <w:t>元，固定资产</w:t>
      </w:r>
      <w:r>
        <w:rPr>
          <w:rFonts w:hint="eastAsia" w:ascii="Times New Roman" w:hAnsi="Times New Roman" w:eastAsia="仿宋_GB2312" w:cs="仿宋_GB2312"/>
          <w:color w:val="auto"/>
          <w:sz w:val="30"/>
          <w:szCs w:val="30"/>
          <w:highlight w:val="none"/>
          <w:lang w:val="en-US" w:eastAsia="zh-CN"/>
        </w:rPr>
        <w:t>179,436.71</w:t>
      </w:r>
      <w:r>
        <w:rPr>
          <w:rFonts w:hint="eastAsia" w:ascii="Times New Roman" w:hAnsi="Times New Roman" w:eastAsia="仿宋_GB2312" w:cs="仿宋_GB2312"/>
          <w:color w:val="auto"/>
          <w:sz w:val="30"/>
          <w:szCs w:val="30"/>
          <w:highlight w:val="none"/>
          <w:lang w:eastAsia="zh-CN"/>
        </w:rPr>
        <w:t>元（净值），对外投资及有价证券</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元，在建工程</w:t>
      </w:r>
      <w:r>
        <w:rPr>
          <w:rFonts w:hint="eastAsia" w:ascii="Times New Roman" w:hAnsi="Times New Roman" w:eastAsia="仿宋_GB2312" w:cs="仿宋_GB2312"/>
          <w:color w:val="auto"/>
          <w:sz w:val="30"/>
          <w:szCs w:val="30"/>
          <w:highlight w:val="none"/>
          <w:lang w:val="en-US" w:eastAsia="zh-CN"/>
        </w:rPr>
        <w:t>11,334,062.00</w:t>
      </w:r>
      <w:r>
        <w:rPr>
          <w:rFonts w:hint="eastAsia" w:ascii="Times New Roman" w:hAnsi="Times New Roman" w:eastAsia="仿宋_GB2312" w:cs="仿宋_GB2312"/>
          <w:color w:val="auto"/>
          <w:sz w:val="30"/>
          <w:szCs w:val="30"/>
          <w:highlight w:val="none"/>
          <w:lang w:eastAsia="zh-CN"/>
        </w:rPr>
        <w:t>元，无形资产</w:t>
      </w:r>
      <w:r>
        <w:rPr>
          <w:rFonts w:hint="eastAsia" w:ascii="Times New Roman" w:hAnsi="Times New Roman" w:eastAsia="仿宋_GB2312" w:cs="仿宋_GB2312"/>
          <w:color w:val="auto"/>
          <w:sz w:val="30"/>
          <w:szCs w:val="30"/>
          <w:highlight w:val="none"/>
          <w:lang w:val="en-US" w:eastAsia="zh-CN"/>
        </w:rPr>
        <w:t>1,846,326.73</w:t>
      </w:r>
      <w:r>
        <w:rPr>
          <w:rFonts w:hint="eastAsia" w:ascii="Times New Roman" w:hAnsi="Times New Roman" w:eastAsia="仿宋_GB2312" w:cs="仿宋_GB2312"/>
          <w:color w:val="auto"/>
          <w:sz w:val="30"/>
          <w:szCs w:val="30"/>
          <w:highlight w:val="none"/>
          <w:lang w:eastAsia="zh-CN"/>
        </w:rPr>
        <w:t>元（净值），其他资产</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元（净值）（具体内容详见附表）</w:t>
      </w:r>
      <w:r>
        <w:rPr>
          <w:rFonts w:hint="eastAsia" w:ascii="Times New Roman" w:hAnsi="Times New Roman" w:eastAsia="仿宋_GB2312" w:cs="方正小标宋简体"/>
          <w:color w:val="auto"/>
          <w:kern w:val="0"/>
          <w:sz w:val="30"/>
          <w:szCs w:val="30"/>
          <w:highlight w:val="none"/>
        </w:rPr>
        <w:t>。与上年相比，本年资产总额减少</w:t>
      </w:r>
      <w:r>
        <w:rPr>
          <w:rFonts w:hint="eastAsia" w:ascii="Times New Roman" w:hAnsi="Times New Roman" w:eastAsia="仿宋_GB2312" w:cs="方正小标宋简体"/>
          <w:color w:val="auto"/>
          <w:kern w:val="0"/>
          <w:sz w:val="30"/>
          <w:szCs w:val="30"/>
          <w:highlight w:val="none"/>
          <w:lang w:val="en-US" w:eastAsia="zh-CN"/>
        </w:rPr>
        <w:t>8,659,083.13</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，其中固定资产减少</w:t>
      </w:r>
      <w:r>
        <w:rPr>
          <w:rFonts w:hint="eastAsia" w:ascii="Times New Roman" w:hAnsi="Times New Roman" w:eastAsia="仿宋_GB2312" w:cs="方正小标宋简体"/>
          <w:color w:val="auto"/>
          <w:kern w:val="0"/>
          <w:sz w:val="30"/>
          <w:szCs w:val="30"/>
          <w:highlight w:val="none"/>
          <w:lang w:val="en-US" w:eastAsia="zh-CN"/>
        </w:rPr>
        <w:t>663,080.47</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。处置房屋建筑物</w:t>
      </w:r>
      <w:r>
        <w:rPr>
          <w:rFonts w:hint="eastAsia" w:ascii="Times New Roman" w:hAnsi="Times New Roman" w:eastAsia="仿宋_GB2312" w:cs="方正小标宋简体"/>
          <w:color w:val="auto"/>
          <w:kern w:val="0"/>
          <w:sz w:val="30"/>
          <w:szCs w:val="30"/>
          <w:highlight w:val="none"/>
          <w:lang w:val="en-US" w:eastAsia="zh-CN"/>
        </w:rPr>
        <w:t>425.14</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1,050,370.00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；处置车辆</w:t>
      </w:r>
      <w:r>
        <w:rPr>
          <w:rFonts w:hint="eastAsia" w:ascii="Times New Roman" w:hAnsi="Times New Roman" w:eastAsia="仿宋_GB2312" w:cs="方正小标宋简体"/>
          <w:color w:val="auto"/>
          <w:kern w:val="0"/>
          <w:sz w:val="30"/>
          <w:szCs w:val="30"/>
          <w:highlight w:val="none"/>
          <w:lang w:val="en-US" w:eastAsia="zh-CN"/>
        </w:rPr>
        <w:t>1</w:t>
      </w:r>
      <w:r>
        <w:rPr>
          <w:rFonts w:hint="eastAsia" w:ascii="Times New Roman" w:hAnsi="Times New Roman" w:eastAsia="仿宋_GB2312" w:cs="方正小标宋简体"/>
          <w:color w:val="auto"/>
          <w:kern w:val="0"/>
          <w:sz w:val="30"/>
          <w:szCs w:val="30"/>
          <w:highlight w:val="none"/>
        </w:rPr>
        <w:t>辆，账面原值</w:t>
      </w:r>
      <w:r>
        <w:rPr>
          <w:rFonts w:hint="eastAsia" w:ascii="Times New Roman" w:hAnsi="Times New Roman" w:eastAsia="仿宋_GB2312" w:cs="方正小标宋简体"/>
          <w:color w:val="auto"/>
          <w:kern w:val="0"/>
          <w:sz w:val="30"/>
          <w:szCs w:val="30"/>
          <w:highlight w:val="none"/>
          <w:lang w:val="en-US" w:eastAsia="zh-CN"/>
        </w:rPr>
        <w:t>272,830.00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；报废报损资产</w:t>
      </w:r>
      <w:r>
        <w:rPr>
          <w:rFonts w:hint="eastAsia" w:ascii="Times New Roman" w:hAnsi="Times New Roman" w:eastAsia="仿宋_GB2312" w:cs="方正小标宋简体"/>
          <w:color w:val="auto"/>
          <w:kern w:val="0"/>
          <w:sz w:val="30"/>
          <w:szCs w:val="30"/>
          <w:highlight w:val="none"/>
          <w:lang w:val="en-US" w:eastAsia="zh-CN"/>
        </w:rPr>
        <w:t>11</w:t>
      </w:r>
      <w:r>
        <w:rPr>
          <w:rFonts w:hint="eastAsia" w:ascii="Times New Roman" w:hAnsi="Times New Roman" w:eastAsia="仿宋_GB2312" w:cs="方正小标宋简体"/>
          <w:color w:val="auto"/>
          <w:kern w:val="0"/>
          <w:sz w:val="30"/>
          <w:szCs w:val="30"/>
          <w:highlight w:val="none"/>
        </w:rPr>
        <w:t>项，账面原值</w:t>
      </w:r>
      <w:r>
        <w:rPr>
          <w:rFonts w:hint="eastAsia" w:ascii="Times New Roman" w:hAnsi="Times New Roman" w:eastAsia="仿宋_GB2312" w:cs="方正小标宋简体"/>
          <w:color w:val="auto"/>
          <w:kern w:val="0"/>
          <w:sz w:val="30"/>
          <w:szCs w:val="30"/>
          <w:highlight w:val="none"/>
          <w:lang w:val="en-US" w:eastAsia="zh-CN"/>
        </w:rPr>
        <w:t>56,410.00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，实现资产处置收入</w:t>
      </w:r>
      <w:r>
        <w:rPr>
          <w:rFonts w:hint="eastAsia" w:ascii="Times New Roman" w:hAnsi="Times New Roman" w:eastAsia="仿宋_GB2312" w:cs="方正小标宋简体"/>
          <w:color w:val="auto"/>
          <w:kern w:val="0"/>
          <w:sz w:val="30"/>
          <w:szCs w:val="30"/>
          <w:highlight w:val="none"/>
          <w:lang w:val="en-US" w:eastAsia="zh-CN"/>
        </w:rPr>
        <w:t>934.00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；出租房屋</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，实现资产使用收入</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w:t>
      </w:r>
    </w:p>
    <w:p w14:paraId="34AC3AD3">
      <w:pPr>
        <w:widowControl/>
        <w:ind w:firstLine="600" w:firstLineChars="200"/>
        <w:rPr>
          <w:rFonts w:hint="eastAsia" w:ascii="Times New Roman" w:hAnsi="Times New Roman" w:eastAsia="仿宋_GB2312" w:cs="方正小标宋简体"/>
          <w:color w:val="auto"/>
          <w:kern w:val="0"/>
          <w:sz w:val="30"/>
          <w:szCs w:val="30"/>
          <w:highlight w:val="none"/>
          <w:lang w:eastAsia="zh-CN"/>
        </w:rPr>
      </w:pPr>
      <w:r>
        <w:rPr>
          <w:rFonts w:hint="eastAsia" w:ascii="Times New Roman" w:hAnsi="Times New Roman" w:eastAsia="仿宋_GB2312" w:cs="方正小标宋简体"/>
          <w:color w:val="auto"/>
          <w:kern w:val="0"/>
          <w:sz w:val="30"/>
          <w:szCs w:val="30"/>
          <w:highlight w:val="none"/>
          <w:lang w:eastAsia="zh-CN"/>
        </w:rPr>
        <w:t>（</w:t>
      </w:r>
      <w:r>
        <w:rPr>
          <w:rFonts w:hint="eastAsia" w:ascii="Times New Roman" w:hAnsi="Times New Roman" w:eastAsia="仿宋_GB2312" w:cs="方正小标宋简体"/>
          <w:color w:val="auto"/>
          <w:kern w:val="0"/>
          <w:sz w:val="30"/>
          <w:szCs w:val="30"/>
          <w:highlight w:val="none"/>
        </w:rPr>
        <w:t>国有资产占有使用情况表</w:t>
      </w:r>
      <w:r>
        <w:rPr>
          <w:rFonts w:hint="eastAsia" w:ascii="Times New Roman" w:hAnsi="Times New Roman" w:eastAsia="仿宋_GB2312" w:cs="方正小标宋简体"/>
          <w:color w:val="auto"/>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0CD26FB1">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1DAEBBC">
            <w:pPr>
              <w:widowControl/>
              <w:jc w:val="left"/>
              <w:rPr>
                <w:rFonts w:ascii="Times New Roman" w:hAnsi="Times New Roman" w:cs="宋体"/>
                <w:color w:val="auto"/>
                <w:kern w:val="0"/>
                <w:sz w:val="17"/>
                <w:szCs w:val="17"/>
                <w:highlight w:val="none"/>
              </w:rPr>
            </w:pPr>
          </w:p>
        </w:tc>
      </w:tr>
      <w:tr w14:paraId="4826A1C8">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ABCD091">
            <w:pPr>
              <w:widowControl/>
              <w:jc w:val="left"/>
              <w:rPr>
                <w:rFonts w:ascii="Times New Roman" w:hAnsi="Times New Roman" w:cs="宋体"/>
                <w:color w:val="auto"/>
                <w:kern w:val="0"/>
                <w:sz w:val="17"/>
                <w:szCs w:val="17"/>
                <w:highlight w:val="none"/>
              </w:rPr>
            </w:pPr>
          </w:p>
        </w:tc>
      </w:tr>
      <w:tr w14:paraId="57285F09">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E305AE5">
            <w:pPr>
              <w:widowControl/>
              <w:jc w:val="left"/>
              <w:rPr>
                <w:rFonts w:ascii="Times New Roman" w:hAnsi="Times New Roman" w:cs="宋体"/>
                <w:color w:val="auto"/>
                <w:kern w:val="0"/>
                <w:sz w:val="17"/>
                <w:szCs w:val="17"/>
                <w:highlight w:val="none"/>
              </w:rPr>
            </w:pPr>
          </w:p>
        </w:tc>
      </w:tr>
      <w:tr w14:paraId="6A051C51">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39C6933F">
            <w:pPr>
              <w:widowControl/>
              <w:jc w:val="left"/>
              <w:rPr>
                <w:rFonts w:ascii="Times New Roman" w:hAnsi="Times New Roman" w:cs="宋体"/>
                <w:color w:val="auto"/>
                <w:kern w:val="0"/>
                <w:sz w:val="17"/>
                <w:szCs w:val="17"/>
                <w:highlight w:val="none"/>
              </w:rPr>
            </w:pPr>
          </w:p>
        </w:tc>
      </w:tr>
      <w:tr w14:paraId="35473281">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ADE7685">
            <w:pPr>
              <w:widowControl/>
              <w:jc w:val="left"/>
              <w:rPr>
                <w:rFonts w:ascii="Times New Roman" w:hAnsi="Times New Roman" w:cs="宋体"/>
                <w:color w:val="auto"/>
                <w:kern w:val="0"/>
                <w:sz w:val="17"/>
                <w:szCs w:val="17"/>
                <w:highlight w:val="none"/>
              </w:rPr>
            </w:pPr>
          </w:p>
        </w:tc>
      </w:tr>
      <w:tr w14:paraId="58A885BF">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1C92902C">
            <w:pPr>
              <w:widowControl/>
              <w:jc w:val="left"/>
              <w:rPr>
                <w:rFonts w:ascii="Times New Roman" w:hAnsi="Times New Roman" w:cs="宋体"/>
                <w:color w:val="auto"/>
                <w:kern w:val="0"/>
                <w:sz w:val="17"/>
                <w:szCs w:val="17"/>
                <w:highlight w:val="none"/>
              </w:rPr>
            </w:pPr>
          </w:p>
        </w:tc>
      </w:tr>
      <w:tr w14:paraId="1F34A082">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DA70EE6">
            <w:pPr>
              <w:widowControl/>
              <w:jc w:val="left"/>
              <w:rPr>
                <w:rFonts w:ascii="Times New Roman" w:hAnsi="Times New Roman" w:cs="宋体"/>
                <w:color w:val="auto"/>
                <w:kern w:val="0"/>
                <w:sz w:val="17"/>
                <w:szCs w:val="17"/>
                <w:highlight w:val="none"/>
              </w:rPr>
            </w:pPr>
          </w:p>
        </w:tc>
      </w:tr>
      <w:tr w14:paraId="2D3068E4">
        <w:tblPrEx>
          <w:tblCellMar>
            <w:top w:w="0" w:type="dxa"/>
            <w:left w:w="0" w:type="dxa"/>
            <w:bottom w:w="0" w:type="dxa"/>
            <w:right w:w="0" w:type="dxa"/>
          </w:tblCellMar>
        </w:tblPrEx>
        <w:trPr>
          <w:trHeight w:val="495" w:hRule="atLeast"/>
        </w:trPr>
        <w:tc>
          <w:tcPr>
            <w:tcW w:w="142" w:type="dxa"/>
            <w:noWrap w:val="0"/>
            <w:vAlign w:val="center"/>
          </w:tcPr>
          <w:p w14:paraId="0487AD77">
            <w:pPr>
              <w:widowControl/>
              <w:jc w:val="left"/>
              <w:rPr>
                <w:rFonts w:ascii="Times New Roman" w:hAnsi="Times New Roman" w:eastAsia="Times New Roman"/>
                <w:color w:val="auto"/>
                <w:kern w:val="0"/>
                <w:sz w:val="20"/>
                <w:szCs w:val="20"/>
                <w:highlight w:val="none"/>
              </w:rPr>
            </w:pPr>
          </w:p>
        </w:tc>
      </w:tr>
    </w:tbl>
    <w:p w14:paraId="1249915D">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lang w:eastAsia="zh-CN"/>
        </w:rPr>
        <w:t>三、政</w:t>
      </w:r>
      <w:r>
        <w:rPr>
          <w:rFonts w:hint="eastAsia" w:ascii="Times New Roman" w:hAnsi="Times New Roman" w:eastAsia="黑体" w:cs="黑体"/>
          <w:color w:val="auto"/>
          <w:sz w:val="30"/>
          <w:szCs w:val="30"/>
          <w:highlight w:val="none"/>
        </w:rPr>
        <w:t>府采购支出情况</w:t>
      </w:r>
    </w:p>
    <w:p w14:paraId="03E76CF5">
      <w:pPr>
        <w:ind w:firstLine="600" w:firstLineChars="200"/>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2025年度，单位政府采购支出总额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元，其中：政府采购货物支出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元；政府采购工程支出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元；政府采购服务支出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元。授予中小企业合同金额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元，其中：授予小微企业合同金额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w:t>
      </w:r>
    </w:p>
    <w:p w14:paraId="1A316E0D">
      <w:pPr>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四、单位绩效自评情况</w:t>
      </w:r>
    </w:p>
    <w:p w14:paraId="2E0C9940">
      <w:pPr>
        <w:widowControl/>
        <w:snapToGrid w:val="0"/>
        <w:spacing w:before="100" w:after="100" w:line="360" w:lineRule="auto"/>
        <w:ind w:firstLine="600"/>
        <w:jc w:val="left"/>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项目支出绩效自评详见公开表GK</w:t>
      </w:r>
      <w:r>
        <w:rPr>
          <w:rFonts w:hint="eastAsia" w:ascii="Times New Roman" w:hAnsi="Times New Roman" w:eastAsia="仿宋_GB2312" w:cs="Times New Roman"/>
          <w:color w:val="auto"/>
          <w:sz w:val="30"/>
          <w:lang w:val="en-US" w:eastAsia="zh-CN"/>
        </w:rPr>
        <w:t>13-1</w:t>
      </w:r>
      <w:r>
        <w:rPr>
          <w:rFonts w:hint="eastAsia" w:ascii="Times New Roman" w:hAnsi="Times New Roman" w:eastAsia="仿宋_GB2312" w:cs="仿宋_GB2312"/>
          <w:color w:val="auto"/>
          <w:sz w:val="30"/>
          <w:szCs w:val="30"/>
          <w:highlight w:val="none"/>
          <w:lang w:val="en-US" w:eastAsia="zh-CN"/>
        </w:rPr>
        <w:t>表、GK</w:t>
      </w:r>
      <w:r>
        <w:rPr>
          <w:rFonts w:hint="eastAsia" w:ascii="Times New Roman" w:hAnsi="Times New Roman" w:eastAsia="仿宋_GB2312" w:cs="Times New Roman"/>
          <w:color w:val="auto"/>
          <w:sz w:val="30"/>
          <w:lang w:val="en-US" w:eastAsia="zh-CN"/>
        </w:rPr>
        <w:t>13-2</w:t>
      </w:r>
      <w:r>
        <w:rPr>
          <w:rFonts w:hint="eastAsia" w:ascii="Times New Roman" w:hAnsi="Times New Roman" w:eastAsia="仿宋_GB2312" w:cs="仿宋_GB2312"/>
          <w:color w:val="auto"/>
          <w:sz w:val="30"/>
          <w:szCs w:val="30"/>
          <w:highlight w:val="none"/>
          <w:lang w:val="en-US" w:eastAsia="zh-CN"/>
        </w:rPr>
        <w:t>表、GK</w:t>
      </w:r>
      <w:r>
        <w:rPr>
          <w:rFonts w:hint="eastAsia" w:ascii="Times New Roman" w:hAnsi="Times New Roman" w:eastAsia="仿宋_GB2312" w:cs="Times New Roman"/>
          <w:color w:val="auto"/>
          <w:sz w:val="30"/>
          <w:lang w:val="en-US" w:eastAsia="zh-CN"/>
        </w:rPr>
        <w:t>13-3</w:t>
      </w:r>
      <w:r>
        <w:rPr>
          <w:rFonts w:hint="eastAsia" w:ascii="Times New Roman" w:hAnsi="Times New Roman" w:eastAsia="仿宋_GB2312" w:cs="仿宋_GB2312"/>
          <w:color w:val="auto"/>
          <w:sz w:val="30"/>
          <w:szCs w:val="30"/>
          <w:highlight w:val="none"/>
          <w:lang w:val="en-US" w:eastAsia="zh-CN"/>
        </w:rPr>
        <w:t>表、GK</w:t>
      </w:r>
      <w:r>
        <w:rPr>
          <w:rFonts w:hint="eastAsia" w:ascii="Times New Roman" w:hAnsi="Times New Roman" w:eastAsia="仿宋_GB2312" w:cs="Times New Roman"/>
          <w:color w:val="auto"/>
          <w:sz w:val="30"/>
          <w:lang w:val="en-US" w:eastAsia="zh-CN"/>
        </w:rPr>
        <w:t>13-4</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5</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6</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7</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8表、</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9</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10</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11</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12</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13</w:t>
      </w:r>
      <w:r>
        <w:rPr>
          <w:rFonts w:hint="eastAsia" w:ascii="Times New Roman" w:hAnsi="Times New Roman" w:eastAsia="仿宋_GB2312" w:cs="仿宋_GB2312"/>
          <w:color w:val="auto"/>
          <w:sz w:val="30"/>
          <w:szCs w:val="30"/>
          <w:highlight w:val="none"/>
          <w:lang w:val="en-US" w:eastAsia="zh-CN"/>
        </w:rPr>
        <w:t>表</w:t>
      </w:r>
      <w:r>
        <w:rPr>
          <w:rFonts w:hint="eastAsia" w:eastAsia="仿宋_GB2312" w:cs="仿宋_GB2312"/>
          <w:color w:val="auto"/>
          <w:sz w:val="30"/>
          <w:szCs w:val="30"/>
          <w:highlight w:val="none"/>
          <w:lang w:val="en-US" w:eastAsia="zh-CN"/>
        </w:rPr>
        <w:t>、</w:t>
      </w:r>
      <w:r>
        <w:rPr>
          <w:rFonts w:hint="eastAsia" w:ascii="Times New Roman" w:hAnsi="Times New Roman" w:eastAsia="仿宋_GB2312" w:cs="仿宋_GB2312"/>
          <w:color w:val="auto"/>
          <w:sz w:val="30"/>
          <w:szCs w:val="30"/>
          <w:highlight w:val="none"/>
          <w:lang w:val="en-US" w:eastAsia="zh-CN"/>
        </w:rPr>
        <w:t>GK</w:t>
      </w:r>
      <w:r>
        <w:rPr>
          <w:rFonts w:hint="eastAsia" w:ascii="Times New Roman" w:hAnsi="Times New Roman" w:eastAsia="仿宋_GB2312" w:cs="Times New Roman"/>
          <w:color w:val="auto"/>
          <w:sz w:val="30"/>
          <w:lang w:val="en-US" w:eastAsia="zh-CN"/>
        </w:rPr>
        <w:t>13-</w:t>
      </w:r>
      <w:r>
        <w:rPr>
          <w:rFonts w:hint="eastAsia" w:eastAsia="仿宋_GB2312" w:cs="Times New Roman"/>
          <w:color w:val="auto"/>
          <w:sz w:val="30"/>
          <w:lang w:val="en-US" w:eastAsia="zh-CN"/>
        </w:rPr>
        <w:t>14</w:t>
      </w:r>
      <w:r>
        <w:rPr>
          <w:rFonts w:hint="eastAsia" w:ascii="Times New Roman" w:hAnsi="Times New Roman" w:eastAsia="仿宋_GB2312" w:cs="仿宋_GB2312"/>
          <w:color w:val="auto"/>
          <w:sz w:val="30"/>
          <w:szCs w:val="30"/>
          <w:highlight w:val="none"/>
          <w:lang w:val="en-US" w:eastAsia="zh-CN"/>
        </w:rPr>
        <w:t>表。</w:t>
      </w:r>
    </w:p>
    <w:p w14:paraId="086F1E93">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五、其他重要事项情况说明</w:t>
      </w:r>
    </w:p>
    <w:p w14:paraId="6A08854F">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firstLineChars="200"/>
        <w:jc w:val="left"/>
        <w:textAlignment w:val="auto"/>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无其他重要事项说明。</w:t>
      </w:r>
    </w:p>
    <w:p w14:paraId="755E06AD">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六、相关口径说明</w:t>
      </w:r>
    </w:p>
    <w:p w14:paraId="72B62173">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（一）</w:t>
      </w:r>
      <w:r>
        <w:rPr>
          <w:rFonts w:hint="eastAsia" w:ascii="Times New Roman" w:hAnsi="Times New Roman" w:eastAsia="仿宋_GB2312" w:cs="方正小标宋简体"/>
          <w:color w:val="auto"/>
          <w:sz w:val="30"/>
          <w:szCs w:val="30"/>
          <w:highlight w:val="none"/>
        </w:rPr>
        <w:t>基本支出中人员经费包括工资福利支出和对个人和家庭的补助，公用</w:t>
      </w:r>
      <w:r>
        <w:rPr>
          <w:rFonts w:hint="eastAsia" w:ascii="Times New Roman" w:hAnsi="Times New Roman" w:eastAsia="仿宋_GB2312" w:cs="方正小标宋简体"/>
          <w:color w:val="auto"/>
          <w:sz w:val="30"/>
          <w:szCs w:val="30"/>
          <w:highlight w:val="none"/>
          <w:lang w:eastAsia="zh-CN"/>
        </w:rPr>
        <w:t>经费</w:t>
      </w:r>
      <w:r>
        <w:rPr>
          <w:rFonts w:hint="eastAsia" w:ascii="Times New Roman" w:hAnsi="Times New Roman" w:eastAsia="仿宋_GB2312" w:cs="方正小标宋简体"/>
          <w:color w:val="auto"/>
          <w:sz w:val="30"/>
          <w:szCs w:val="30"/>
          <w:highlight w:val="none"/>
        </w:rPr>
        <w:t>包括商品和服务支出、资本性支出等人员经费以外的支出。</w:t>
      </w:r>
    </w:p>
    <w:p w14:paraId="0FEC0CEE">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（二）</w:t>
      </w:r>
      <w:r>
        <w:rPr>
          <w:rFonts w:hint="eastAsia" w:ascii="Times New Roman" w:hAnsi="Times New Roman"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仿宋_GB2312" w:cs="方正小标宋简体"/>
          <w:color w:val="auto"/>
          <w:sz w:val="30"/>
          <w:szCs w:val="30"/>
          <w:highlight w:val="none"/>
          <w:lang w:eastAsia="zh-CN"/>
        </w:rPr>
        <w:t>。</w:t>
      </w:r>
    </w:p>
    <w:p w14:paraId="640E2BC2">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（三）</w:t>
      </w:r>
      <w:r>
        <w:rPr>
          <w:rFonts w:hint="eastAsia" w:ascii="Times New Roman" w:hAnsi="Times New Roman" w:eastAsia="仿宋_GB2312" w:cs="方正小标宋简体"/>
          <w:color w:val="auto"/>
          <w:sz w:val="30"/>
          <w:szCs w:val="30"/>
          <w:highlight w:val="none"/>
        </w:rPr>
        <w:t>按照党中央、国务院有关文件及部门预算管理有关规定，“三公”经费包括因公出国（境）费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、公务用车购置及运行维护费、公务接待费。其中：因公出国（境）费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仿宋_GB2312" w:cs="方正小标宋简体"/>
          <w:color w:val="auto"/>
          <w:sz w:val="30"/>
          <w:szCs w:val="30"/>
          <w:highlight w:val="none"/>
          <w:lang w:eastAsia="zh-CN"/>
        </w:rPr>
        <w:t>、牌照费</w:t>
      </w:r>
      <w:r>
        <w:rPr>
          <w:rFonts w:hint="eastAsia" w:ascii="Times New Roman" w:hAnsi="Times New Roman"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6D458E37">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（四）本文所称财政拨款</w:t>
      </w:r>
      <w:r>
        <w:rPr>
          <w:rFonts w:hint="eastAsia" w:ascii="Times New Roman" w:hAnsi="Times New Roman" w:eastAsia="仿宋_GB2312" w:cs="方正小标宋简体"/>
          <w:color w:val="auto"/>
          <w:sz w:val="30"/>
          <w:szCs w:val="30"/>
          <w:highlight w:val="none"/>
        </w:rPr>
        <w:t>“三公”经费决算数</w:t>
      </w:r>
      <w:r>
        <w:rPr>
          <w:rFonts w:hint="eastAsia" w:ascii="Times New Roman" w:hAnsi="Times New Roman" w:eastAsia="仿宋_GB2312" w:cs="方正小标宋简体"/>
          <w:color w:val="auto"/>
          <w:sz w:val="30"/>
          <w:szCs w:val="30"/>
          <w:highlight w:val="none"/>
          <w:lang w:eastAsia="zh-CN"/>
        </w:rPr>
        <w:t>是</w:t>
      </w:r>
      <w:r>
        <w:rPr>
          <w:rFonts w:hint="eastAsia" w:ascii="Times New Roman" w:hAnsi="Times New Roman" w:eastAsia="仿宋_GB2312" w:cs="方正小标宋简体"/>
          <w:color w:val="auto"/>
          <w:sz w:val="30"/>
          <w:szCs w:val="30"/>
          <w:highlight w:val="none"/>
        </w:rPr>
        <w:t>指各部门（含下属单位）</w:t>
      </w:r>
      <w:r>
        <w:rPr>
          <w:rFonts w:hint="eastAsia" w:ascii="Times New Roman" w:hAnsi="Times New Roman" w:eastAsia="仿宋_GB2312" w:cs="方正小标宋简体"/>
          <w:color w:val="auto"/>
          <w:sz w:val="30"/>
          <w:szCs w:val="30"/>
          <w:highlight w:val="none"/>
          <w:lang w:eastAsia="zh-CN"/>
        </w:rPr>
        <w:t>或单位</w:t>
      </w:r>
      <w:r>
        <w:rPr>
          <w:rFonts w:hint="eastAsia" w:ascii="Times New Roman" w:hAnsi="Times New Roman" w:eastAsia="仿宋_GB2312" w:cs="方正小标宋简体"/>
          <w:color w:val="auto"/>
          <w:sz w:val="30"/>
          <w:szCs w:val="30"/>
          <w:highlight w:val="none"/>
        </w:rPr>
        <w:t>当年通过本级财政拨款和以前年度财政拨款结转结余资金安排的因公出国（境）费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、公务用车购置及运行维护费和公务接待费支出数（包括基本支出和项目支出）。</w:t>
      </w:r>
    </w:p>
    <w:p w14:paraId="3DC73A54">
      <w:pPr>
        <w:jc w:val="center"/>
        <w:outlineLvl w:val="0"/>
        <w:rPr>
          <w:rFonts w:hint="eastAsia" w:ascii="Times New Roman" w:hAnsi="Times New Roman" w:eastAsia="黑体" w:cs="方正小标宋简体"/>
          <w:color w:val="auto"/>
          <w:sz w:val="32"/>
          <w:szCs w:val="32"/>
          <w:highlight w:val="none"/>
        </w:rPr>
      </w:pPr>
      <w:r>
        <w:rPr>
          <w:rFonts w:hint="eastAsia" w:ascii="Times New Roman" w:hAnsi="Times New Roman" w:eastAsia="黑体" w:cs="方正小标宋简体"/>
          <w:color w:val="auto"/>
          <w:sz w:val="32"/>
          <w:szCs w:val="32"/>
          <w:highlight w:val="none"/>
        </w:rPr>
        <w:t>第</w:t>
      </w:r>
      <w:r>
        <w:rPr>
          <w:rFonts w:hint="eastAsia" w:ascii="Times New Roman" w:hAnsi="Times New Roman" w:eastAsia="黑体" w:cs="方正小标宋简体"/>
          <w:color w:val="auto"/>
          <w:sz w:val="32"/>
          <w:szCs w:val="32"/>
          <w:highlight w:val="none"/>
          <w:lang w:eastAsia="zh-CN"/>
        </w:rPr>
        <w:t>五</w:t>
      </w:r>
      <w:r>
        <w:rPr>
          <w:rFonts w:hint="eastAsia" w:ascii="Times New Roman" w:hAnsi="Times New Roman" w:eastAsia="黑体" w:cs="方正小标宋简体"/>
          <w:color w:val="auto"/>
          <w:sz w:val="32"/>
          <w:szCs w:val="32"/>
          <w:highlight w:val="none"/>
        </w:rPr>
        <w:t>部分  名词解释</w:t>
      </w:r>
    </w:p>
    <w:p w14:paraId="70AC90F9">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506F100">
      <w:pPr>
        <w:rPr>
          <w:rFonts w:ascii="Times New Roman" w:hAnsi="Times New Roman"/>
          <w:color w:val="auto"/>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宋体;SimSun">
    <w:altName w:val="宋体"/>
    <w:panose1 w:val="00000000000000000000"/>
    <w:charset w:val="00"/>
    <w:family w:val="auto"/>
    <w:pitch w:val="default"/>
    <w:sig w:usb0="00000000" w:usb1="00000000" w:usb2="00000000"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05B3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89F968">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4589F968">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28B7">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5D5B502F">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0C46D">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16B62"/>
    <w:rsid w:val="1417601B"/>
    <w:rsid w:val="153E6DEC"/>
    <w:rsid w:val="1BE57116"/>
    <w:rsid w:val="48992371"/>
    <w:rsid w:val="4997759D"/>
    <w:rsid w:val="4F8D22E6"/>
    <w:rsid w:val="6443397C"/>
    <w:rsid w:val="69B91BFB"/>
    <w:rsid w:val="73507280"/>
    <w:rsid w:val="773E7F5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snapToGrid w:val="0"/>
      <w:spacing w:line="300" w:lineRule="auto"/>
      <w:ind w:firstLine="556"/>
    </w:pPr>
    <w:rPr>
      <w:rFonts w:ascii="仿宋_GB2312"/>
      <w:kern w:val="0"/>
    </w:rPr>
  </w:style>
  <w:style w:type="paragraph" w:styleId="3">
    <w:name w:val="Body Text"/>
    <w:basedOn w:val="1"/>
    <w:qFormat/>
    <w:uiPriority w:val="0"/>
    <w:pPr>
      <w:spacing w:before="93" w:beforeLines="30"/>
    </w:pPr>
    <w:rPr>
      <w:rFonts w:ascii="仿宋_GB2312" w:eastAsia="仿宋_GB2312"/>
      <w:sz w:val="30"/>
    </w:rPr>
  </w:style>
  <w:style w:type="paragraph" w:styleId="4">
    <w:name w:val="Block Text"/>
    <w:basedOn w:val="1"/>
    <w:qFormat/>
    <w:uiPriority w:val="0"/>
    <w:pPr>
      <w:autoSpaceDE w:val="0"/>
      <w:autoSpaceDN w:val="0"/>
      <w:adjustRightInd w:val="0"/>
      <w:spacing w:after="120"/>
      <w:ind w:left="1440" w:leftChars="700" w:right="1440" w:rightChars="700"/>
      <w:textAlignment w:val="baseline"/>
    </w:pPr>
    <w:rPr>
      <w:rFonts w:ascii="Times New Roman" w:hAnsi="Times New Roman"/>
      <w:kern w:val="0"/>
      <w:sz w:val="28"/>
      <w:szCs w:val="2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 w:type="paragraph" w:customStyle="1" w:styleId="11">
    <w:name w:val="cjk"/>
    <w:basedOn w:val="12"/>
    <w:qFormat/>
    <w:uiPriority w:val="0"/>
    <w:pPr>
      <w:widowControl/>
    </w:pPr>
    <w:rPr>
      <w:rFonts w:ascii="等线" w:hAnsi="等线" w:eastAsia="等线" w:cs="宋体;SimSun"/>
      <w:kern w:val="0"/>
      <w:sz w:val="20"/>
      <w:szCs w:val="20"/>
    </w:rPr>
  </w:style>
  <w:style w:type="paragraph" w:customStyle="1" w:styleId="12">
    <w:name w:val="正文1"/>
    <w:qFormat/>
    <w:uiPriority w:val="0"/>
    <w:pPr>
      <w:widowControl w:val="0"/>
      <w:suppressAutoHyphens w:val="0"/>
      <w:bidi w:val="0"/>
      <w:spacing w:beforeLines="0" w:beforeAutospacing="0" w:afterLines="0" w:afterAutospacing="0"/>
      <w:jc w:val="both"/>
    </w:pPr>
    <w:rPr>
      <w:rFonts w:ascii="Times New Roman" w:hAnsi="Times New Roman" w:eastAsia="宋体;SimSun" w:cs="Times New Roman"/>
      <w:color w:val="auto"/>
      <w:kern w:val="2"/>
      <w:sz w:val="21"/>
      <w:szCs w:val="24"/>
      <w:lang w:val="en-US" w:eastAsia="zh-CN" w:bidi="ar-SA"/>
    </w:rPr>
  </w:style>
  <w:style w:type="paragraph" w:customStyle="1" w:styleId="13">
    <w:name w:val="正文首行缩进 21"/>
    <w:basedOn w:val="1"/>
    <w:qFormat/>
    <w:uiPriority w:val="0"/>
    <w:pPr>
      <w:spacing w:after="120"/>
      <w:ind w:left="420" w:leftChars="200" w:firstLine="420" w:firstLineChars="200"/>
    </w:pPr>
    <w:rPr>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fd8751-93e9-41a3-8fad-9d87fd18d714}">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18</Pages>
  <Words>281</Words>
  <Characters>290</Characters>
  <Lines>0</Lines>
  <Paragraphs>0</Paragraphs>
  <TotalTime>8</TotalTime>
  <ScaleCrop>false</ScaleCrop>
  <LinksUpToDate>false</LinksUpToDate>
  <CharactersWithSpaces>296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梦想成为咸鱼</cp:lastModifiedBy>
  <cp:lastPrinted>2024-07-30T06:24:00Z</cp:lastPrinted>
  <dcterms:modified xsi:type="dcterms:W3CDTF">2026-10-16T04:04:59Z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eyJoZGlkIjoiNmQ3YjhkMWYyMjk3OWExNTMxNmYwMjQ5MTE0NzdhZDkiLCJ1c2VySWQiOiIzMDU3MzQ1OTEifQ==</vt:lpwstr>
  </property>
</Properties>
</file>