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pageBreakBefore w:val="0"/>
        <w:widowControl/>
        <w:kinsoku/>
        <w:wordWrap w:val="0"/>
        <w:overflowPunct/>
        <w:topLinePunct w:val="0"/>
        <w:autoSpaceDE/>
        <w:autoSpaceDN/>
        <w:bidi w:val="0"/>
        <w:adjustRightInd/>
        <w:ind w:left="0" w:leftChars="0" w:right="0" w:rightChars="0"/>
        <w:jc w:val="center"/>
        <w:textAlignment w:val="auto"/>
        <w:outlineLvl w:val="0"/>
        <w:rPr>
          <w:rFonts w:hint="eastAsia" w:ascii="方正小标宋简体" w:hAnsi="方正小标宋简体" w:eastAsia="方正小标宋简体" w:cs="方正小标宋简体"/>
          <w:sz w:val="36"/>
          <w:szCs w:val="36"/>
          <w:highlight w:val="none"/>
        </w:rPr>
      </w:pPr>
      <w:bookmarkStart w:id="0" w:name="OLE_LINK2"/>
      <w:r>
        <w:rPr>
          <w:rFonts w:hint="eastAsia" w:ascii="方正小标宋简体" w:hAnsi="方正小标宋简体" w:eastAsia="方正小标宋简体"/>
          <w:sz w:val="36"/>
          <w:lang w:val="zh-CN"/>
        </w:rPr>
        <w:t>华宁县农业农村局（本级）</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keepLines/>
        <w:pageBreakBefore w:val="0"/>
        <w:widowControl/>
        <w:kinsoku/>
        <w:wordWrap w:val="0"/>
        <w:overflowPunct/>
        <w:topLinePunct w:val="0"/>
        <w:autoSpaceDE/>
        <w:autoSpaceDN/>
        <w:bidi w:val="0"/>
        <w:adjustRightInd/>
        <w:ind w:left="0" w:leftChars="0" w:right="0" w:rightChars="0"/>
        <w:jc w:val="center"/>
        <w:textAlignment w:val="auto"/>
        <w:rPr>
          <w:rFonts w:hint="eastAsia" w:ascii="方正小标宋简体" w:hAnsi="方正小标宋简体" w:eastAsia="方正小标宋简体" w:cs="方正小标宋简体"/>
          <w:sz w:val="36"/>
          <w:szCs w:val="36"/>
          <w:highlight w:val="none"/>
        </w:rPr>
      </w:pPr>
    </w:p>
    <w:p>
      <w:pPr>
        <w:keepLines/>
        <w:pageBreakBefore w:val="0"/>
        <w:widowControl/>
        <w:kinsoku/>
        <w:wordWrap w:val="0"/>
        <w:overflowPunct/>
        <w:topLinePunct w:val="0"/>
        <w:autoSpaceDE/>
        <w:autoSpaceDN/>
        <w:bidi w:val="0"/>
        <w:adjustRightInd/>
        <w:ind w:left="0" w:leftChars="0" w:right="0" w:rightChars="0"/>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keepLines/>
        <w:pageBreakBefore w:val="0"/>
        <w:widowControl/>
        <w:kinsoku/>
        <w:wordWrap w:val="0"/>
        <w:overflowPunct/>
        <w:topLinePunct w:val="0"/>
        <w:autoSpaceDE/>
        <w:autoSpaceDN/>
        <w:bidi w:val="0"/>
        <w:adjustRightInd/>
        <w:ind w:left="0" w:leftChars="0" w:right="0" w:rightChars="0"/>
        <w:jc w:val="left"/>
        <w:textAlignment w:val="auto"/>
        <w:rPr>
          <w:rFonts w:hint="eastAsia" w:ascii="黑体" w:hAnsi="黑体" w:eastAsia="黑体"/>
          <w:sz w:val="30"/>
          <w:szCs w:val="30"/>
          <w:highlight w:val="none"/>
        </w:rPr>
      </w:pPr>
    </w:p>
    <w:p>
      <w:pPr>
        <w:keepLines/>
        <w:pageBreakBefore w:val="0"/>
        <w:widowControl/>
        <w:kinsoku/>
        <w:wordWrap w:val="0"/>
        <w:overflowPunct/>
        <w:topLinePunct w:val="0"/>
        <w:autoSpaceDE/>
        <w:autoSpaceDN/>
        <w:bidi w:val="0"/>
        <w:adjustRightInd/>
        <w:ind w:left="0" w:leftChars="0" w:right="0" w:rightChars="0"/>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keepLines/>
        <w:pageBreakBefore w:val="0"/>
        <w:widowControl/>
        <w:kinsoku/>
        <w:wordWrap w:val="0"/>
        <w:overflowPunct/>
        <w:topLinePunct w:val="0"/>
        <w:autoSpaceDE/>
        <w:autoSpaceDN/>
        <w:bidi w:val="0"/>
        <w:adjustRightInd/>
        <w:spacing w:line="240" w:lineRule="atLeast"/>
        <w:ind w:left="0" w:leftChars="0" w:right="0" w:rightChars="0"/>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keepLines/>
        <w:pageBreakBefore w:val="0"/>
        <w:widowControl/>
        <w:kinsoku/>
        <w:wordWrap w:val="0"/>
        <w:overflowPunct/>
        <w:topLinePunct w:val="0"/>
        <w:autoSpaceDE/>
        <w:autoSpaceDN/>
        <w:bidi w:val="0"/>
        <w:adjustRightInd/>
        <w:spacing w:line="240" w:lineRule="atLeast"/>
        <w:ind w:left="0" w:leftChars="0" w:right="0" w:rightChars="0"/>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keepLines/>
        <w:pageBreakBefore w:val="0"/>
        <w:widowControl/>
        <w:kinsoku/>
        <w:wordWrap w:val="0"/>
        <w:overflowPunct/>
        <w:topLinePunct w:val="0"/>
        <w:autoSpaceDE/>
        <w:autoSpaceDN/>
        <w:bidi w:val="0"/>
        <w:adjustRightInd/>
        <w:spacing w:line="240" w:lineRule="atLeast"/>
        <w:ind w:left="0" w:leftChars="0" w:right="0" w:rightChars="0"/>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keepLines/>
        <w:pageBreakBefore w:val="0"/>
        <w:widowControl/>
        <w:kinsoku/>
        <w:wordWrap w:val="0"/>
        <w:overflowPunct/>
        <w:topLinePunct w:val="0"/>
        <w:autoSpaceDE/>
        <w:autoSpaceDN/>
        <w:bidi w:val="0"/>
        <w:adjustRightInd/>
        <w:ind w:left="0" w:leftChars="0" w:right="0" w:rightChars="0"/>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keepLines/>
        <w:pageBreakBefore w:val="0"/>
        <w:widowControl/>
        <w:kinsoku/>
        <w:wordWrap w:val="0"/>
        <w:overflowPunct/>
        <w:topLinePunct w:val="0"/>
        <w:autoSpaceDE/>
        <w:autoSpaceDN/>
        <w:bidi w:val="0"/>
        <w:adjustRightInd/>
        <w:ind w:left="0" w:leftChars="0" w:right="0" w:rightChars="0"/>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keepLines/>
        <w:pageBreakBefore w:val="0"/>
        <w:widowControl/>
        <w:kinsoku/>
        <w:wordWrap w:val="0"/>
        <w:overflowPunct/>
        <w:topLinePunct w:val="0"/>
        <w:autoSpaceDE/>
        <w:autoSpaceDN/>
        <w:bidi w:val="0"/>
        <w:adjustRightInd/>
        <w:snapToGrid w:val="0"/>
        <w:spacing w:line="360" w:lineRule="auto"/>
        <w:ind w:left="0" w:leftChars="0" w:right="0" w:rightChars="0"/>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keepLines/>
        <w:pageBreakBefore w:val="0"/>
        <w:widowControl/>
        <w:kinsoku/>
        <w:wordWrap w:val="0"/>
        <w:overflowPunct/>
        <w:topLinePunct w:val="0"/>
        <w:autoSpaceDE/>
        <w:autoSpaceDN/>
        <w:bidi w:val="0"/>
        <w:adjustRightInd/>
        <w:snapToGrid w:val="0"/>
        <w:spacing w:line="360" w:lineRule="auto"/>
        <w:ind w:left="0" w:leftChars="0" w:right="0" w:rightChars="0"/>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keepLines/>
        <w:pageBreakBefore w:val="0"/>
        <w:widowControl/>
        <w:kinsoku/>
        <w:wordWrap w:val="0"/>
        <w:overflowPunct/>
        <w:topLinePunct w:val="0"/>
        <w:autoSpaceDE/>
        <w:autoSpaceDN/>
        <w:bidi w:val="0"/>
        <w:adjustRightInd/>
        <w:ind w:left="0" w:leftChars="0" w:right="0" w:rightChars="0"/>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keepLines/>
        <w:pageBreakBefore w:val="0"/>
        <w:widowControl/>
        <w:kinsoku/>
        <w:wordWrap w:val="0"/>
        <w:overflowPunct/>
        <w:topLinePunct w:val="0"/>
        <w:autoSpaceDE/>
        <w:autoSpaceDN/>
        <w:bidi w:val="0"/>
        <w:adjustRightInd/>
        <w:snapToGrid w:val="0"/>
        <w:spacing w:line="360" w:lineRule="auto"/>
        <w:ind w:left="0" w:leftChars="0" w:right="0" w:rightChars="0"/>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keepLines/>
        <w:pageBreakBefore w:val="0"/>
        <w:widowControl/>
        <w:kinsoku/>
        <w:wordWrap w:val="0"/>
        <w:overflowPunct/>
        <w:topLinePunct w:val="0"/>
        <w:autoSpaceDE/>
        <w:autoSpaceDN/>
        <w:bidi w:val="0"/>
        <w:adjustRightInd/>
        <w:ind w:left="0" w:leftChars="0" w:right="0" w:rightChars="0"/>
        <w:jc w:val="center"/>
        <w:textAlignment w:val="auto"/>
        <w:rPr>
          <w:rFonts w:hint="eastAsia" w:ascii="黑体" w:hAnsi="黑体" w:eastAsia="黑体"/>
          <w:sz w:val="32"/>
          <w:szCs w:val="32"/>
          <w:highlight w:val="none"/>
        </w:rPr>
      </w:pPr>
    </w:p>
    <w:p>
      <w:pPr>
        <w:keepLines/>
        <w:pageBreakBefore w:val="0"/>
        <w:widowControl/>
        <w:kinsoku/>
        <w:wordWrap w:val="0"/>
        <w:overflowPunct/>
        <w:topLinePunct w:val="0"/>
        <w:autoSpaceDE/>
        <w:autoSpaceDN/>
        <w:bidi w:val="0"/>
        <w:adjustRightInd/>
        <w:ind w:left="0" w:leftChars="0" w:right="0" w:rightChars="0"/>
        <w:jc w:val="center"/>
        <w:textAlignment w:val="auto"/>
        <w:rPr>
          <w:rFonts w:hint="eastAsia" w:ascii="黑体" w:hAnsi="黑体" w:eastAsia="黑体"/>
          <w:sz w:val="32"/>
          <w:szCs w:val="32"/>
          <w:highlight w:val="none"/>
        </w:rPr>
      </w:pPr>
    </w:p>
    <w:p>
      <w:pPr>
        <w:keepLines/>
        <w:pageBreakBefore w:val="0"/>
        <w:widowControl/>
        <w:kinsoku/>
        <w:wordWrap w:val="0"/>
        <w:overflowPunct/>
        <w:topLinePunct w:val="0"/>
        <w:autoSpaceDE/>
        <w:autoSpaceDN/>
        <w:bidi w:val="0"/>
        <w:adjustRightInd/>
        <w:ind w:left="0" w:leftChars="0" w:right="0" w:rightChars="0"/>
        <w:jc w:val="center"/>
        <w:textAlignment w:val="auto"/>
        <w:rPr>
          <w:rFonts w:hint="eastAsia" w:ascii="黑体" w:hAnsi="黑体" w:eastAsia="黑体"/>
          <w:sz w:val="32"/>
          <w:szCs w:val="32"/>
          <w:highlight w:val="none"/>
        </w:rPr>
      </w:pPr>
    </w:p>
    <w:p>
      <w:pPr>
        <w:keepLines/>
        <w:pageBreakBefore w:val="0"/>
        <w:widowControl/>
        <w:kinsoku/>
        <w:wordWrap w:val="0"/>
        <w:overflowPunct/>
        <w:topLinePunct w:val="0"/>
        <w:autoSpaceDE/>
        <w:autoSpaceDN/>
        <w:bidi w:val="0"/>
        <w:adjustRightInd/>
        <w:ind w:left="0" w:leftChars="0" w:right="0" w:rightChars="0"/>
        <w:jc w:val="center"/>
        <w:textAlignment w:val="auto"/>
        <w:rPr>
          <w:rFonts w:hint="eastAsia" w:ascii="黑体" w:hAnsi="黑体" w:eastAsia="黑体"/>
          <w:sz w:val="32"/>
          <w:szCs w:val="32"/>
          <w:highlight w:val="none"/>
        </w:rPr>
      </w:pPr>
    </w:p>
    <w:p>
      <w:pPr>
        <w:keepLines/>
        <w:pageBreakBefore w:val="0"/>
        <w:widowControl/>
        <w:kinsoku/>
        <w:wordWrap w:val="0"/>
        <w:overflowPunct/>
        <w:topLinePunct w:val="0"/>
        <w:autoSpaceDE/>
        <w:autoSpaceDN/>
        <w:bidi w:val="0"/>
        <w:adjustRightInd/>
        <w:ind w:left="0" w:leftChars="0" w:right="0" w:rightChars="0"/>
        <w:jc w:val="center"/>
        <w:textAlignment w:val="auto"/>
        <w:rPr>
          <w:rFonts w:hint="eastAsia" w:ascii="黑体" w:hAnsi="黑体" w:eastAsia="黑体"/>
          <w:sz w:val="32"/>
          <w:szCs w:val="32"/>
          <w:highlight w:val="none"/>
        </w:rPr>
      </w:pPr>
    </w:p>
    <w:p>
      <w:pPr>
        <w:keepLines/>
        <w:pageBreakBefore w:val="0"/>
        <w:widowControl/>
        <w:kinsoku/>
        <w:wordWrap w:val="0"/>
        <w:overflowPunct/>
        <w:topLinePunct w:val="0"/>
        <w:autoSpaceDE/>
        <w:autoSpaceDN/>
        <w:bidi w:val="0"/>
        <w:adjustRightInd/>
        <w:ind w:left="0" w:leftChars="0" w:right="0" w:rightChars="0"/>
        <w:jc w:val="center"/>
        <w:textAlignment w:val="auto"/>
        <w:rPr>
          <w:rFonts w:hint="eastAsia" w:ascii="黑体" w:hAnsi="黑体" w:eastAsia="黑体"/>
          <w:sz w:val="32"/>
          <w:szCs w:val="32"/>
          <w:highlight w:val="none"/>
        </w:rPr>
      </w:pPr>
    </w:p>
    <w:p>
      <w:pPr>
        <w:keepLines/>
        <w:pageBreakBefore w:val="0"/>
        <w:widowControl/>
        <w:kinsoku/>
        <w:wordWrap w:val="0"/>
        <w:overflowPunct/>
        <w:topLinePunct w:val="0"/>
        <w:autoSpaceDE/>
        <w:autoSpaceDN/>
        <w:bidi w:val="0"/>
        <w:adjustRightInd/>
        <w:ind w:left="0" w:leftChars="0" w:right="0" w:rightChars="0"/>
        <w:jc w:val="center"/>
        <w:textAlignment w:val="auto"/>
        <w:rPr>
          <w:rFonts w:hint="eastAsia" w:ascii="黑体" w:hAnsi="黑体" w:eastAsia="黑体"/>
          <w:sz w:val="32"/>
          <w:szCs w:val="32"/>
          <w:highlight w:val="none"/>
        </w:rPr>
      </w:pPr>
    </w:p>
    <w:p>
      <w:pPr>
        <w:keepLines/>
        <w:pageBreakBefore w:val="0"/>
        <w:widowControl/>
        <w:kinsoku/>
        <w:wordWrap w:val="0"/>
        <w:overflowPunct/>
        <w:topLinePunct w:val="0"/>
        <w:autoSpaceDE/>
        <w:autoSpaceDN/>
        <w:bidi w:val="0"/>
        <w:adjustRightInd/>
        <w:ind w:left="0" w:leftChars="0" w:right="0" w:rightChars="0"/>
        <w:jc w:val="both"/>
        <w:textAlignment w:val="auto"/>
        <w:rPr>
          <w:rFonts w:hint="eastAsia" w:ascii="黑体" w:hAnsi="黑体" w:eastAsia="黑体"/>
          <w:sz w:val="32"/>
          <w:szCs w:val="32"/>
          <w:highlight w:val="none"/>
        </w:rPr>
      </w:pPr>
    </w:p>
    <w:p>
      <w:pPr>
        <w:keepLines/>
        <w:pageBreakBefore w:val="0"/>
        <w:widowControl/>
        <w:kinsoku/>
        <w:wordWrap w:val="0"/>
        <w:overflowPunct/>
        <w:topLinePunct w:val="0"/>
        <w:autoSpaceDE/>
        <w:autoSpaceDN/>
        <w:bidi w:val="0"/>
        <w:adjustRightInd/>
        <w:ind w:left="0" w:leftChars="0" w:right="0" w:rightChars="0"/>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keepLines/>
        <w:pageBreakBefore w:val="0"/>
        <w:widowControl/>
        <w:numPr>
          <w:ilvl w:val="0"/>
          <w:numId w:val="1"/>
        </w:numPr>
        <w:kinsoku/>
        <w:wordWrap w:val="0"/>
        <w:overflowPunct/>
        <w:topLinePunct w:val="0"/>
        <w:autoSpaceDE/>
        <w:autoSpaceDN/>
        <w:bidi w:val="0"/>
        <w:adjustRightInd/>
        <w:spacing w:line="600" w:lineRule="exact"/>
        <w:ind w:left="0" w:leftChars="0" w:right="0" w:rightChars="0"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主要</w:t>
      </w:r>
      <w:r>
        <w:rPr>
          <w:rFonts w:hint="eastAsia" w:ascii="黑体" w:hAnsi="黑体" w:eastAsia="黑体"/>
          <w:sz w:val="30"/>
          <w:szCs w:val="30"/>
          <w:highlight w:val="none"/>
          <w:lang w:eastAsia="zh-CN"/>
        </w:rPr>
        <w:t>职责</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黑体" w:hAnsi="黑体" w:eastAsia="黑体"/>
          <w:sz w:val="30"/>
          <w:szCs w:val="30"/>
          <w:highlight w:val="none"/>
          <w:lang w:val="en-US" w:eastAsia="zh-CN"/>
        </w:rPr>
        <w:t xml:space="preserve">   </w:t>
      </w:r>
      <w:r>
        <w:rPr>
          <w:rFonts w:hint="eastAsia" w:ascii="Times New Roman" w:hAnsi="Times New Roman" w:eastAsia="仿宋_GB2312"/>
          <w:sz w:val="30"/>
          <w:szCs w:val="30"/>
          <w:highlight w:val="none"/>
          <w:lang w:val="en-US" w:eastAsia="zh-CN"/>
        </w:rPr>
        <w:t xml:space="preserve"> （一）统筹研究和组织实施以乡村振兴为重心的“三农”工作发展中长期规划、重大政策。参与涉农相关政策制定。</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（二）负责城乡统筹综合协调工作。统筹推动发展农村社会事业、农村公共服务、农村文化、农村基础设施和乡村治理。牵头组织改善农村人居环境。</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（三）负责实施农民承包地、农村宅基地、农村集体产权制度改革和管理有关工作。</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四）负责巩固拓展脱贫攻坚成果有关工作。牵头开展防止返贫监测和帮扶，组织拟订乡村振兴帮扶政策。承担东西部协作、定点帮扶、社会帮扶相关工作。承担农村低收入人口和欠发达地区常态化帮扶有关工作，构建长效帮扶机制。</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（五）负责指导乡村特色产业、农产品加工业、休闲农业、乡镇企业发展工作，推动延长农产品产业链。培育、保护农业品牌，做强做优高原特色农业。承担农业统计和农业农村信息化有关工作。</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六）负责种植业、畜牧业、渔业、农业机械化等农业各产业的监督管理。指导粮食等农产品生产，推进构建多元化食物供给体系。组织构建现代化农业产业体系、生产体系、经营体系，指导农业标准化生产、推动农业绿色发展。负责渔政渔港监督管理。</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（七）负责农产品质量安全监督管理。组织开展农产品质量安全监测、追溯、风险评估。</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（八）负责耕地、永久基本农田质量保护和高标准农田建设工作。组织农业资源区划工作。指导农用地、渔业水域以及农业生物物种资源的保护与管理，负责水生野生动植物保护工作。牵头管理外来物种。</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（九）负责有关农业生产资料和农业投入品的监督管理。负责执业兽医和畜禽屠宰行业管理。</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（十）负责农业防灾减灾、农作物重大病虫害防治工作。指导动植物防疫检疫体系建设。</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（十一）负责农业投资管理。</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（十二）研究提出农业农村科技发展规划和政策建议并推动落实。负责农业转基因生物安全监督管理和农业植物新品种保护。</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（十三）指导农业农村人才工作。</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（十四）牵头开展农业对外合作工作。</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（十五）完成县委、县政府和县委农村工作领导小组交办的其他任务。</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我单位共设置5个内设机构，包括：办公室、计划财务与农村经济股、农村产业发展与社会事务股、政策法规、农产品质量安全与畜牧渔业股、帮扶协作股、督促考评股。</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我单位作为华宁县</w:t>
      </w:r>
      <w:r>
        <w:rPr>
          <w:rFonts w:hint="eastAsia" w:ascii="Times New Roman" w:hAnsi="Times New Roman" w:eastAsia="仿宋" w:cs="Times New Roman"/>
          <w:color w:val="auto"/>
          <w:kern w:val="2"/>
          <w:sz w:val="30"/>
          <w:szCs w:val="20"/>
          <w:lang w:val="zh-CN"/>
        </w:rPr>
        <w:t>农业农村局</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pPr>
        <w:keepLines/>
        <w:pageBreakBefore w:val="0"/>
        <w:widowControl/>
        <w:kinsoku/>
        <w:wordWrap w:val="0"/>
        <w:overflowPunct/>
        <w:topLinePunct w:val="0"/>
        <w:autoSpaceDE/>
        <w:autoSpaceDN/>
        <w:bidi w:val="0"/>
        <w:adjustRightInd/>
        <w:ind w:left="0" w:leftChars="0" w:right="0" w:rightChars="0"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19</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12</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7</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29</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29</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kern w:val="0"/>
          <w:sz w:val="30"/>
          <w:szCs w:val="30"/>
          <w:highlight w:val="none"/>
          <w:lang w:val="en-US" w:eastAsia="zh-CN"/>
        </w:rPr>
        <w:t>人。</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车辆编制2辆，在编实有车辆2辆，超编0辆。</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（一）巩固拓展脱贫攻坚成果，衔接乡村振兴落地见效</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（二）聚焦产业提质增效，夯实农业发展根基。</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（三）保障粮食安全，筑牢农业生产底线</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（四）强化畜牧业监管，保障生产安全</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（五）提升农业机械化水平，赋能高效生产</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（六）加强法治建设与质量监管，规范市场秩序</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（七）深化农村改革，激活乡村治理效能</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（八）扎实推进社会事业发展，着力打造宜居宜业和美乡村</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（九）落实惠民政策，增强产业发展后劲</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（十）全力推进生态环境攻坚，强化农业面源污染防控</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（十一）推进出口备案基地建设，不断增强柑桔产业外向发展能力。</w:t>
      </w:r>
    </w:p>
    <w:p>
      <w:pPr>
        <w:keepLines/>
        <w:pageBreakBefore w:val="0"/>
        <w:widowControl/>
        <w:kinsoku/>
        <w:wordWrap w:val="0"/>
        <w:overflowPunct/>
        <w:topLinePunct w:val="0"/>
        <w:autoSpaceDE/>
        <w:autoSpaceDN/>
        <w:bidi w:val="0"/>
        <w:adjustRightInd/>
        <w:ind w:left="0" w:leftChars="0" w:right="0" w:rightChars="0"/>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center"/>
        <w:textAlignment w:val="auto"/>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pStyle w:val="5"/>
        <w:keepNext/>
        <w:keepLines/>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600" w:firstLineChars="200"/>
        <w:jc w:val="both"/>
        <w:textAlignment w:val="auto"/>
        <w:rPr>
          <w:rFonts w:hint="eastAsia" w:ascii="Times New Roman" w:hAnsi="Times New Roman" w:eastAsia="仿宋" w:cs="Times New Roman"/>
          <w:color w:val="auto"/>
          <w:kern w:val="2"/>
          <w:sz w:val="30"/>
          <w:szCs w:val="20"/>
          <w:lang w:val="en-US"/>
        </w:rPr>
      </w:pPr>
      <w:r>
        <w:rPr>
          <w:rFonts w:hint="eastAsia" w:ascii="Times New Roman" w:hAnsi="Times New Roman" w:eastAsia="仿宋" w:cs="Times New Roman"/>
          <w:color w:val="auto"/>
          <w:kern w:val="2"/>
          <w:sz w:val="30"/>
          <w:szCs w:val="20"/>
          <w:lang w:val="en-US"/>
        </w:rPr>
        <w:t>华宁县农业农村局（本级）无政府性基金预算财政拨款收入支出，《政府性基金预算财政拨款收入支出决算表》为空表。</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eastAsia="仿宋_GB2312"/>
          <w:sz w:val="30"/>
          <w:szCs w:val="30"/>
          <w:highlight w:val="none"/>
          <w:lang w:eastAsia="zh-CN"/>
        </w:rPr>
      </w:pPr>
      <w:r>
        <w:rPr>
          <w:rFonts w:hint="eastAsia" w:ascii="Times New Roman" w:hAnsi="Times New Roman" w:eastAsia="仿宋" w:cs="Times New Roman"/>
          <w:color w:val="auto"/>
          <w:kern w:val="2"/>
          <w:sz w:val="30"/>
          <w:szCs w:val="20"/>
          <w:lang w:val="en-US"/>
        </w:rPr>
        <w:t>华宁县农业农村局（本级）无国有资本经营预算财政拨款收入支出，《国有资本经营预算财政拨款收入支出决算表》为空表。</w:t>
      </w:r>
    </w:p>
    <w:p>
      <w:pPr>
        <w:keepLines/>
        <w:pageBreakBefore w:val="0"/>
        <w:widowControl/>
        <w:kinsoku/>
        <w:wordWrap w:val="0"/>
        <w:overflowPunct/>
        <w:topLinePunct w:val="0"/>
        <w:autoSpaceDE/>
        <w:autoSpaceDN/>
        <w:bidi w:val="0"/>
        <w:adjustRightInd/>
        <w:ind w:left="0" w:leftChars="0" w:right="0" w:rightChars="0"/>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538"/>
        <w:jc w:val="left"/>
        <w:textAlignment w:val="auto"/>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华宁县农业农村局（本级）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 xml:space="preserve">收入合计19,033,743.60 </w:t>
      </w:r>
    </w:p>
    <w:p>
      <w:pPr>
        <w:keepLines/>
        <w:pageBreakBefore w:val="0"/>
        <w:widowControl/>
        <w:kinsoku/>
        <w:wordWrap w:val="0"/>
        <w:overflowPunct/>
        <w:topLinePunct w:val="0"/>
        <w:autoSpaceDE/>
        <w:autoSpaceDN/>
        <w:bidi w:val="0"/>
        <w:adjustRightInd/>
        <w:snapToGrid w:val="0"/>
        <w:spacing w:line="600" w:lineRule="exact"/>
        <w:ind w:left="0" w:leftChars="0" w:right="0" w:rightChars="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元</w:t>
      </w:r>
      <w:r>
        <w:rPr>
          <w:rFonts w:hint="eastAsia" w:ascii="仿宋_GB2312" w:eastAsia="仿宋_GB2312"/>
          <w:sz w:val="30"/>
          <w:szCs w:val="30"/>
          <w:highlight w:val="none"/>
        </w:rPr>
        <w:t xml:space="preserve">。其中：财政拨款收入18,701,818.07 </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98.26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 xml:space="preserve">收入；其他收入331,925.53 </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1.74</w:t>
      </w:r>
      <w:r>
        <w:rPr>
          <w:rFonts w:hint="eastAsia" w:ascii="仿宋_GB2312" w:eastAsia="仿宋_GB2312"/>
          <w:sz w:val="30"/>
          <w:szCs w:val="30"/>
          <w:highlight w:val="none"/>
        </w:rPr>
        <w:t>%。</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538"/>
        <w:jc w:val="left"/>
        <w:textAlignment w:val="auto"/>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377</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876.04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11.11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262</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916.01</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10.79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Times New Roman" w:hAnsi="Times New Roman" w:eastAsia="仿宋_GB2312" w:cs="仿宋_GB2312"/>
          <w:color w:val="auto"/>
          <w:sz w:val="30"/>
          <w:lang w:val="zh-CN" w:eastAsia="zh-CN"/>
        </w:rPr>
        <w:t>主要原因是：</w:t>
      </w:r>
      <w:r>
        <w:rPr>
          <w:rFonts w:hint="eastAsia" w:eastAsia="仿宋_GB2312" w:cs="仿宋_GB2312"/>
          <w:color w:val="auto"/>
          <w:sz w:val="30"/>
          <w:lang w:val="en-US" w:eastAsia="zh-CN"/>
        </w:rPr>
        <w:t>2025年机关事业单位职工遗属生活补助（死亡抚恤）减少；2025年无公务用车购置经费；2025年无解决耕地流出整改种子苗经费；2025年无脱贫劳动力“人人持证、技能致富”培训补贴项目资金；2025年小额信贷贴息项目资金减少；2025年新开发农村公益性岗位补贴项目由就业局实施发放；</w:t>
      </w:r>
      <w:r>
        <w:rPr>
          <w:rFonts w:hint="eastAsia" w:eastAsia="仿宋_GB2312" w:cs="仿宋_GB2312"/>
          <w:color w:val="auto"/>
          <w:sz w:val="30"/>
          <w:lang w:val="zh-CN"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；无事业收入；无经营收入；无附属单位上缴收入；其他收入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114</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960.03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25.72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bookmarkStart w:id="1" w:name="OLE_LINK1"/>
      <w:r>
        <w:rPr>
          <w:rFonts w:hint="eastAsia" w:ascii="仿宋_GB2312" w:eastAsia="仿宋_GB2312"/>
          <w:sz w:val="30"/>
          <w:szCs w:val="30"/>
          <w:highlight w:val="none"/>
        </w:rPr>
        <w:t>公益性岗位</w:t>
      </w:r>
      <w:bookmarkEnd w:id="1"/>
      <w:r>
        <w:rPr>
          <w:rFonts w:hint="eastAsia" w:ascii="仿宋_GB2312" w:eastAsia="仿宋_GB2312"/>
          <w:sz w:val="30"/>
          <w:szCs w:val="30"/>
          <w:highlight w:val="none"/>
          <w:lang w:eastAsia="zh-CN"/>
        </w:rPr>
        <w:t>人员合同</w:t>
      </w:r>
      <w:r>
        <w:rPr>
          <w:rFonts w:hint="eastAsia" w:ascii="仿宋_GB2312" w:eastAsia="仿宋_GB2312"/>
          <w:sz w:val="30"/>
          <w:szCs w:val="30"/>
          <w:highlight w:val="none"/>
          <w:lang w:val="en-US" w:eastAsia="zh-CN"/>
        </w:rPr>
        <w:t>2025年3月到期，</w:t>
      </w:r>
      <w:r>
        <w:rPr>
          <w:rFonts w:hint="eastAsia" w:ascii="仿宋_GB2312" w:eastAsia="仿宋_GB2312"/>
          <w:sz w:val="30"/>
          <w:szCs w:val="30"/>
          <w:highlight w:val="none"/>
        </w:rPr>
        <w:t>公益性岗位</w:t>
      </w:r>
      <w:r>
        <w:rPr>
          <w:rFonts w:hint="eastAsia" w:ascii="仿宋_GB2312" w:eastAsia="仿宋_GB2312"/>
          <w:sz w:val="30"/>
          <w:szCs w:val="30"/>
          <w:highlight w:val="none"/>
          <w:lang w:eastAsia="zh-CN"/>
        </w:rPr>
        <w:t>经费减少；</w:t>
      </w:r>
      <w:r>
        <w:rPr>
          <w:rFonts w:hint="eastAsia" w:ascii="仿宋_GB2312" w:eastAsia="仿宋_GB2312"/>
          <w:sz w:val="30"/>
          <w:szCs w:val="30"/>
          <w:highlight w:val="none"/>
        </w:rPr>
        <w:t>华宁县农业</w:t>
      </w:r>
      <w:r>
        <w:rPr>
          <w:rFonts w:hint="eastAsia" w:ascii="仿宋_GB2312" w:eastAsia="仿宋_GB2312"/>
          <w:sz w:val="30"/>
          <w:szCs w:val="30"/>
          <w:highlight w:val="none"/>
          <w:lang w:eastAsia="zh-CN"/>
        </w:rPr>
        <w:t>农村</w:t>
      </w:r>
      <w:r>
        <w:rPr>
          <w:rFonts w:hint="eastAsia" w:ascii="仿宋_GB2312" w:eastAsia="仿宋_GB2312"/>
          <w:sz w:val="30"/>
          <w:szCs w:val="30"/>
          <w:highlight w:val="none"/>
        </w:rPr>
        <w:t>局亚热带水果示范园拨入</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年农业农村工作经费</w:t>
      </w:r>
      <w:r>
        <w:rPr>
          <w:rFonts w:hint="eastAsia" w:ascii="仿宋_GB2312" w:eastAsia="仿宋_GB2312"/>
          <w:sz w:val="30"/>
          <w:szCs w:val="30"/>
          <w:highlight w:val="none"/>
          <w:lang w:eastAsia="zh-CN"/>
        </w:rPr>
        <w:t>减少。</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华宁县农业农村局（本级）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19</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047</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311.45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3</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323</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037.92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17.45</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15</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724</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273.53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82.55</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350</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740.34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10.99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269</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978.38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7.51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Times New Roman" w:hAnsi="Times New Roman" w:eastAsia="仿宋_GB2312" w:cs="仿宋_GB2312"/>
          <w:color w:val="auto"/>
          <w:sz w:val="30"/>
          <w:lang w:val="zh-CN" w:eastAsia="zh-CN"/>
        </w:rPr>
        <w:t>主要原因是：</w:t>
      </w:r>
      <w:r>
        <w:rPr>
          <w:rFonts w:hint="eastAsia" w:eastAsia="仿宋_GB2312" w:cs="仿宋_GB2312"/>
          <w:color w:val="auto"/>
          <w:sz w:val="30"/>
          <w:lang w:val="en-US" w:eastAsia="zh-CN"/>
        </w:rPr>
        <w:t>2024年决算包含原乡村振兴局部分事业人员的工资和社保费，改革后2025年决算不包含事业人员的工资和社保费支出；</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080</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761.96</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11.69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Times New Roman" w:hAnsi="Times New Roman" w:eastAsia="仿宋_GB2312" w:cs="仿宋_GB2312"/>
          <w:color w:val="auto"/>
          <w:sz w:val="30"/>
          <w:lang w:val="zh-CN" w:eastAsia="zh-CN"/>
        </w:rPr>
        <w:t>主要原因是：</w:t>
      </w:r>
      <w:r>
        <w:rPr>
          <w:rFonts w:hint="eastAsia" w:eastAsia="仿宋_GB2312" w:cs="仿宋_GB2312"/>
          <w:color w:val="auto"/>
          <w:sz w:val="30"/>
          <w:lang w:val="en-US" w:eastAsia="zh-CN"/>
        </w:rPr>
        <w:t>2025年机关事业单位职工遗属生活补助（死亡抚恤）减少；2025年无公务用车购置经费；2025年无解决耕地流出整改种子苗经费；2025年无脱贫劳动力“人人持证、技能致富”培训补贴项目资金；2025年小额信贷贴息项目资金减少；2025年新开发农村公益性岗位补贴项目由就业局实施发放；无</w:t>
      </w:r>
      <w:r>
        <w:rPr>
          <w:rFonts w:hint="eastAsia" w:ascii="仿宋_GB2312" w:eastAsia="仿宋_GB2312"/>
          <w:sz w:val="30"/>
          <w:szCs w:val="30"/>
          <w:highlight w:val="none"/>
          <w:lang w:eastAsia="zh-CN"/>
        </w:rPr>
        <w:t>上缴上级支出；无经营支出；无对附属单位补助支出。</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538"/>
        <w:jc w:val="left"/>
        <w:textAlignment w:val="auto"/>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华宁县农业农村局（本级）</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3</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323</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037.92</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3</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017</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258.42</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90.80</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305</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779.50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9.20</w:t>
      </w:r>
      <w:r>
        <w:rPr>
          <w:rFonts w:hint="eastAsia" w:ascii="仿宋_GB2312" w:hAnsi="仿宋_GB2312" w:eastAsia="仿宋_GB2312" w:cs="仿宋_GB2312"/>
          <w:sz w:val="30"/>
          <w:szCs w:val="30"/>
          <w:highlight w:val="none"/>
        </w:rPr>
        <w:t>％。</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left"/>
        <w:textAlignment w:val="auto"/>
        <w:outlineLvl w:val="9"/>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华宁县农业农村局（本级）</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15</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724</w:t>
      </w:r>
      <w:r>
        <w:rPr>
          <w:rFonts w:hint="eastAsia" w:ascii="仿宋_GB2312" w:eastAsia="仿宋_GB2312"/>
          <w:sz w:val="30"/>
          <w:szCs w:val="30"/>
          <w:highlight w:val="none"/>
        </w:rPr>
        <w:t>,</w:t>
      </w:r>
      <w:r>
        <w:rPr>
          <w:rFonts w:hint="eastAsia" w:ascii="仿宋_GB2312" w:hAnsi="仿宋_GB2312" w:eastAsia="仿宋_GB2312" w:cs="仿宋_GB2312"/>
          <w:color w:val="auto"/>
          <w:sz w:val="30"/>
          <w:lang w:val="zh-CN"/>
        </w:rPr>
        <w:t>273.53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zh-CN"/>
        </w:rPr>
        <w:t>华财农〔2025〕42号2025年中央耕地地力保护补贴资金11,959,303.17</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主要用于</w:t>
      </w:r>
      <w:r>
        <w:rPr>
          <w:rFonts w:hint="eastAsia" w:ascii="仿宋_GB2312" w:hAnsi="仿宋_GB2312" w:eastAsia="仿宋_GB2312" w:cs="仿宋_GB2312"/>
          <w:color w:val="auto"/>
          <w:sz w:val="30"/>
          <w:lang w:val="en-US" w:eastAsia="zh-CN"/>
        </w:rPr>
        <w:t>2025年全县5个乡镇所有拥有土地确权证书并且符合条件的农户的耕地地力保护补贴（一卡通发放）发放。</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华财农〔2025〕91号2025年小额信贷贴息项目资金1,151,984.67元，主要用于</w:t>
      </w:r>
      <w:bookmarkStart w:id="2" w:name="_GoBack"/>
      <w:bookmarkEnd w:id="2"/>
      <w:r>
        <w:rPr>
          <w:rFonts w:hint="eastAsia" w:ascii="仿宋_GB2312" w:hAnsi="仿宋_GB2312" w:eastAsia="仿宋_GB2312" w:cs="仿宋_GB2312"/>
          <w:color w:val="auto"/>
          <w:sz w:val="30"/>
          <w:lang w:val="en-US" w:eastAsia="zh-CN"/>
        </w:rPr>
        <w:t>2023年、2024年、2025年扶贫小额信贷贴息（一卡通发放）发放。</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华财农〔2025〕73号2025年度雨露计划项目经费745,000.00元，主要用于2025年农村脱贫户及监测对象家庭子女初、高中毕业后接受中、高等职业教育补助（一卡通发放）。</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华财农〔2025〕91号2025年度“雨露计划项”目经费720,000.00元，主要用于2025年农村脱贫户及监测对象家庭子女初、高中毕业后接受中、高等职业教育补助（一卡通发放）。</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华财农〔2025〕109号2025年华宁县省内跨州市务工交通补助项目资金94,000.00元，主要用于2025年脱贫劳动力一次性交通补贴。</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华财农〔2025〕91号2025年中央第一批项目管理经费131,500.00元，主要用于中央衔接资金项目的设计费、监理费、审计费等。</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华财农〔2025〕73号2025年项目管理（中央第二批）经费34,000.00元，主要用于中央衔接资金项目的设计费、监理费、审计费等。</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华财农〔2025〕28号2025年项目管理（省级第一批）经费448,000.00元，主要用于省级衔接资金项目的设计费、监理费、审计费等。</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华财农〔2025〕109号2025年项目管理（省级第四批）经费10,670.31元，主要用于省级衔接资金项目的设计费、监理费、审计费等。</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en-US" w:eastAsia="zh-CN"/>
        </w:rPr>
        <w:t>华财农〔2025〕177号2023年省级正向激励资金项目管理费专项资金51,950.00元，主要用于省级衔接资金项目的设计费、监理费、审计费等。</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华宁县农业农村局（本级）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18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701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818.07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98.19</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262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916.01</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10.79</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510.19</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pPr>
        <w:keepLines/>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1.一般公共服务（类）支出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2.外交（类）支出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3.国防（类）支出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4.公共安全（类）支出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5.教育（类）支出0.00元，占一般公共预算财政拨款总支出的0.00%,年初无此项预算。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6.科学技术（类）支出0.00元，占一般公共预算财政拨款总支出的0.00%,年初无此项预算。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7.文化旅游体育与传媒（类）支出0.00元，占一般公共预算财政拨款总支出的0.00%,年初无此项预算。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8.社会保障和就业（类）支出302,499.44元，占一般公共预算财政拨款总支出的1.62%,完成年初预算的</w:t>
      </w:r>
      <w:r>
        <w:rPr>
          <w:rFonts w:hint="eastAsia" w:ascii="仿宋_GB2312" w:hAnsi="仿宋_GB2312" w:eastAsia="仿宋_GB2312" w:cs="仿宋_GB2312"/>
          <w:color w:val="auto"/>
          <w:sz w:val="30"/>
          <w:lang w:val="zh-CN" w:eastAsia="zh-CN"/>
        </w:rPr>
        <w:t>43.44</w:t>
      </w:r>
      <w:r>
        <w:rPr>
          <w:rFonts w:hint="eastAsia" w:ascii="仿宋_GB2312" w:hAnsi="仿宋_GB2312" w:eastAsia="仿宋_GB2312" w:cs="仿宋_GB2312"/>
          <w:color w:val="auto"/>
          <w:sz w:val="30"/>
          <w:lang w:val="en-US" w:eastAsia="zh-CN"/>
        </w:rPr>
        <w:t>%，主要用于机关事业单位基本养老保险缴费支出287,113.44元、机关事业单位死亡抚恤及职工遗属生活补助15,386.00元；造成预决算差异的主要原因是2025年1至12月退休人员生活补助尚未拨付。</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9.卫生健康（类）支出</w:t>
      </w:r>
      <w:r>
        <w:rPr>
          <w:rFonts w:hint="eastAsia" w:ascii="仿宋_GB2312" w:hAnsi="仿宋_GB2312" w:eastAsia="仿宋_GB2312" w:cs="仿宋_GB2312"/>
          <w:color w:val="auto"/>
          <w:sz w:val="30"/>
          <w:lang w:val="zh-CN" w:eastAsia="zh-CN"/>
        </w:rPr>
        <w:t>329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595.98</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1.76</w:t>
      </w:r>
      <w:r>
        <w:rPr>
          <w:rFonts w:hint="eastAsia" w:ascii="仿宋_GB2312" w:hAnsi="仿宋_GB2312" w:eastAsia="仿宋_GB2312" w:cs="仿宋_GB2312"/>
          <w:color w:val="auto"/>
          <w:sz w:val="30"/>
          <w:lang w:val="en-US" w:eastAsia="zh-CN"/>
        </w:rPr>
        <w:t>%,完成年初预算的</w:t>
      </w:r>
      <w:r>
        <w:rPr>
          <w:rFonts w:hint="eastAsia" w:ascii="仿宋_GB2312" w:hAnsi="仿宋_GB2312" w:eastAsia="仿宋_GB2312" w:cs="仿宋_GB2312"/>
          <w:color w:val="auto"/>
          <w:sz w:val="30"/>
          <w:lang w:val="zh-CN" w:eastAsia="zh-CN"/>
        </w:rPr>
        <w:t>99.00</w:t>
      </w:r>
      <w:r>
        <w:rPr>
          <w:rFonts w:hint="eastAsia" w:ascii="仿宋_GB2312" w:hAnsi="仿宋_GB2312" w:eastAsia="仿宋_GB2312" w:cs="仿宋_GB2312"/>
          <w:color w:val="auto"/>
          <w:sz w:val="30"/>
          <w:lang w:val="en-US" w:eastAsia="zh-CN"/>
        </w:rPr>
        <w:t>%，主要用于行政单位医疗</w:t>
      </w:r>
    </w:p>
    <w:p>
      <w:pPr>
        <w:keepLines/>
        <w:pageBreakBefore w:val="0"/>
        <w:widowControl/>
        <w:kinsoku/>
        <w:wordWrap w:val="0"/>
        <w:overflowPunct/>
        <w:topLinePunct w:val="0"/>
        <w:autoSpaceDE/>
        <w:autoSpaceDN/>
        <w:bidi w:val="0"/>
        <w:adjustRightInd/>
        <w:spacing w:line="600" w:lineRule="exact"/>
        <w:ind w:left="0" w:leftChars="0" w:right="0" w:rightChars="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保险缴费支出144,965.91元，公务员医疗补助163,426.85元，其他行政事业单位医疗支出21,203.22元，造成预决算差异的主要原因是2025年11至12月职工基本医疗保险、公务员医疗补助尚未拨付。</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10.节能环保（类）支出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11.城乡社区（类）支出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12.农林水（类）支出</w:t>
      </w:r>
      <w:r>
        <w:rPr>
          <w:rFonts w:hint="eastAsia" w:ascii="仿宋_GB2312" w:hAnsi="仿宋_GB2312" w:eastAsia="仿宋_GB2312" w:cs="仿宋_GB2312"/>
          <w:color w:val="auto"/>
          <w:sz w:val="30"/>
          <w:lang w:val="zh-CN" w:eastAsia="zh-CN"/>
        </w:rPr>
        <w:t>17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810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018.65</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95.23</w:t>
      </w:r>
      <w:r>
        <w:rPr>
          <w:rFonts w:hint="eastAsia" w:ascii="仿宋_GB2312" w:hAnsi="仿宋_GB2312" w:eastAsia="仿宋_GB2312" w:cs="仿宋_GB2312"/>
          <w:color w:val="auto"/>
          <w:sz w:val="30"/>
          <w:lang w:val="en-US" w:eastAsia="zh-CN"/>
        </w:rPr>
        <w:t>%,完成年初预算的</w:t>
      </w:r>
      <w:r>
        <w:rPr>
          <w:rFonts w:hint="eastAsia" w:ascii="仿宋_GB2312" w:hAnsi="仿宋_GB2312" w:eastAsia="仿宋_GB2312" w:cs="仿宋_GB2312"/>
          <w:color w:val="auto"/>
          <w:sz w:val="30"/>
          <w:lang w:val="zh-CN" w:eastAsia="zh-CN"/>
        </w:rPr>
        <w:t>751.69</w:t>
      </w:r>
      <w:r>
        <w:rPr>
          <w:rFonts w:hint="eastAsia" w:ascii="仿宋_GB2312" w:hAnsi="仿宋_GB2312" w:eastAsia="仿宋_GB2312" w:cs="仿宋_GB2312"/>
          <w:color w:val="auto"/>
          <w:sz w:val="30"/>
          <w:lang w:val="en-US" w:eastAsia="zh-CN"/>
        </w:rPr>
        <w:t>%，主要用于耕地建设与利用（2025年中央耕地地力保护补贴资金）11,959,303.17元；社会发展（2025年驻村工作队员意外保险市级专项经费）16,986.00元；贷款奖补和贴息（脱贫人口小额信贷贴息）1,151,984.67元；其他巩固拓展脱贫攻坚成果衔接乡村振兴支出（中央、省级衔接资金项目管理费；2025年度“雨露计划项”目经费；2025年华宁县省内跨州市务工交通补助项目资金）2,235,120.31元；行政运行（人员经费和公用经费）2,446,624.50元。造成预决算差异的主要原因是2025年拨付了县级以上的项目专款。</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13.交通运输（类）支出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14.资源勘探工业信息等（类）支出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15.商业服务业等（类）支出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16.金融（类）支出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17.援助其他地区（类）支出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18.自然资源海洋气象等（类）支出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19.住房保障（类）支出</w:t>
      </w:r>
      <w:r>
        <w:rPr>
          <w:rFonts w:hint="eastAsia" w:ascii="仿宋_GB2312" w:hAnsi="仿宋_GB2312" w:eastAsia="仿宋_GB2312" w:cs="仿宋_GB2312"/>
          <w:color w:val="auto"/>
          <w:sz w:val="30"/>
          <w:lang w:val="zh-CN" w:eastAsia="zh-CN"/>
        </w:rPr>
        <w:t>259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704.00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1.39</w:t>
      </w:r>
      <w:r>
        <w:rPr>
          <w:rFonts w:hint="eastAsia" w:ascii="仿宋_GB2312" w:hAnsi="仿宋_GB2312" w:eastAsia="仿宋_GB2312" w:cs="仿宋_GB2312"/>
          <w:color w:val="auto"/>
          <w:sz w:val="30"/>
          <w:lang w:val="en-US" w:eastAsia="zh-CN"/>
        </w:rPr>
        <w:t>%,完成年初预算的</w:t>
      </w:r>
      <w:r>
        <w:rPr>
          <w:rFonts w:hint="eastAsia" w:ascii="仿宋_GB2312" w:hAnsi="仿宋_GB2312" w:eastAsia="仿宋_GB2312" w:cs="仿宋_GB2312"/>
          <w:color w:val="auto"/>
          <w:sz w:val="30"/>
          <w:lang w:val="zh-CN" w:eastAsia="zh-CN"/>
        </w:rPr>
        <w:t>97.26</w:t>
      </w:r>
      <w:r>
        <w:rPr>
          <w:rFonts w:hint="eastAsia" w:ascii="仿宋_GB2312" w:hAnsi="仿宋_GB2312" w:eastAsia="仿宋_GB2312" w:cs="仿宋_GB2312"/>
          <w:color w:val="auto"/>
          <w:sz w:val="30"/>
          <w:lang w:val="en-US" w:eastAsia="zh-CN"/>
        </w:rPr>
        <w:t>%，主要用于单位职工住房公积金缴纳支出259,704.00元；造成预决算差异的主要原因是2025年部分月份公积金尚未拨付。</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20.粮油物资储备（类）支出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21.国有资本经营预算（类）支出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22.灾害防治及应急管理（类）支出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23.其他（类）支出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24.债务还本（类）支出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25.债务付息（类）支出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en-US" w:eastAsia="zh-CN"/>
        </w:rPr>
        <w:t>26.抗疫特别国债安排（类）支出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元，占一般公共预算财政拨款总支出的</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%,年初无此项预算。</w:t>
      </w:r>
    </w:p>
    <w:p>
      <w:pPr>
        <w:keepLines/>
        <w:pageBreakBefore w:val="0"/>
        <w:widowControl/>
        <w:numPr>
          <w:ilvl w:val="0"/>
          <w:numId w:val="2"/>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22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kern w:val="0"/>
          <w:sz w:val="30"/>
          <w:lang w:val="en-US" w:eastAsia="zh-CN"/>
        </w:rPr>
        <w:t>800.00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13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739.00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60.26</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178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479.00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92.85</w:t>
      </w:r>
      <w:r>
        <w:rPr>
          <w:rFonts w:hint="eastAsia" w:ascii="仿宋_GB2312" w:hAnsi="宋体" w:eastAsia="仿宋_GB2312" w:cs="Arial"/>
          <w:kern w:val="0"/>
          <w:sz w:val="30"/>
          <w:szCs w:val="30"/>
          <w:highlight w:val="none"/>
          <w:lang w:val="en-US" w:eastAsia="zh-CN"/>
        </w:rPr>
        <w:t>%。</w:t>
      </w:r>
    </w:p>
    <w:p>
      <w:pPr>
        <w:keepNext w:val="0"/>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w:t>
      </w:r>
      <w:r>
        <w:rPr>
          <w:rFonts w:hint="eastAsia" w:ascii="仿宋_GB2312" w:hAnsi="仿宋_GB2312" w:eastAsia="仿宋_GB2312" w:cs="仿宋_GB2312"/>
          <w:color w:val="000000"/>
          <w:sz w:val="30"/>
          <w:lang w:val="zh-CN"/>
        </w:rPr>
        <w:t>12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11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999.00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87.34</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99.99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w:t>
      </w:r>
      <w:r>
        <w:rPr>
          <w:rFonts w:hint="eastAsia" w:ascii="仿宋_GB2312" w:hAnsi="仿宋_GB2312" w:eastAsia="仿宋_GB2312" w:cs="仿宋_GB2312"/>
          <w:color w:val="000000"/>
          <w:sz w:val="30"/>
          <w:lang w:val="zh-CN"/>
        </w:rPr>
        <w:t>10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800.00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740.00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12.66</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16.11</w:t>
      </w:r>
      <w:r>
        <w:rPr>
          <w:rFonts w:hint="eastAsia" w:ascii="仿宋_GB2312" w:hAnsi="宋体" w:eastAsia="仿宋_GB2312" w:cs="Arial"/>
          <w:kern w:val="0"/>
          <w:sz w:val="30"/>
          <w:szCs w:val="30"/>
          <w:highlight w:val="none"/>
          <w:lang w:val="en-US" w:eastAsia="zh-CN"/>
        </w:rPr>
        <w:t>%。</w:t>
      </w:r>
    </w:p>
    <w:p>
      <w:pPr>
        <w:keepNext w:val="0"/>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支出决算较上年：上年无此项支出；</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180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100.00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134.00</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52.56</w:t>
      </w:r>
      <w:r>
        <w:rPr>
          <w:rFonts w:hint="eastAsia" w:ascii="仿宋_GB2312" w:hAnsi="宋体" w:eastAsia="仿宋_GB2312" w:cs="Arial"/>
          <w:kern w:val="0"/>
          <w:sz w:val="30"/>
          <w:szCs w:val="30"/>
          <w:highlight w:val="none"/>
          <w:lang w:val="en-US"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613.00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60.03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740.00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613.00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60.03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元，较上年：上年无此项支出。</w:t>
      </w:r>
    </w:p>
    <w:p>
      <w:pPr>
        <w:keepNext w:val="0"/>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22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13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739.00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60.26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178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479.00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92.85</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11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999.00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99.99</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740.00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16.11</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是公务接待费减少</w:t>
      </w:r>
      <w:r>
        <w:rPr>
          <w:rFonts w:hint="eastAsia" w:ascii="仿宋_GB2312" w:eastAsia="仿宋_GB2312"/>
          <w:sz w:val="30"/>
          <w:szCs w:val="30"/>
          <w:highlight w:val="none"/>
        </w:rPr>
        <w:t>。</w:t>
      </w:r>
    </w:p>
    <w:p>
      <w:pPr>
        <w:keepNext w:val="0"/>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Times New Roman" w:hAnsi="Times New Roman" w:eastAsia="仿宋_GB2312"/>
          <w:sz w:val="30"/>
          <w:szCs w:val="30"/>
          <w:highlight w:val="none"/>
          <w:lang w:val="en-US"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w:t>
      </w:r>
      <w:r>
        <w:rPr>
          <w:rFonts w:hint="eastAsia" w:ascii="仿宋_GB2312" w:hAnsi="仿宋_GB2312" w:eastAsia="仿宋_GB2312" w:cs="仿宋_GB2312"/>
          <w:color w:val="000000"/>
          <w:sz w:val="30"/>
          <w:lang w:val="zh-CN"/>
        </w:rPr>
        <w:t>费</w:t>
      </w:r>
      <w:r>
        <w:rPr>
          <w:rFonts w:hint="eastAsia" w:ascii="仿宋_GB2312" w:hAnsi="仿宋_GB2312" w:eastAsia="仿宋_GB2312" w:cs="仿宋_GB2312"/>
          <w:color w:val="000000"/>
          <w:sz w:val="30"/>
          <w:lang w:val="en-US" w:eastAsia="zh-CN"/>
        </w:rPr>
        <w:t>用</w:t>
      </w:r>
      <w:r>
        <w:rPr>
          <w:rFonts w:hint="eastAsia" w:ascii="仿宋_GB2312" w:hAnsi="仿宋_GB2312" w:eastAsia="仿宋_GB2312" w:cs="仿宋_GB2312"/>
          <w:color w:val="000000"/>
          <w:sz w:val="30"/>
          <w:lang w:val="zh-CN"/>
        </w:rPr>
        <w:t>支出决算减少0.00</w:t>
      </w:r>
      <w:r>
        <w:rPr>
          <w:rFonts w:hint="eastAsia" w:ascii="仿宋_GB2312" w:hAnsi="仿宋_GB2312" w:eastAsia="仿宋_GB2312" w:cs="仿宋_GB2312"/>
          <w:color w:val="000000"/>
          <w:sz w:val="30"/>
          <w:lang w:val="zh-CN" w:eastAsia="zh-CN"/>
        </w:rPr>
        <w:t>元</w:t>
      </w:r>
      <w:r>
        <w:rPr>
          <w:rFonts w:hint="eastAsia" w:ascii="仿宋_GB2312" w:hAnsi="仿宋_GB2312" w:eastAsia="仿宋_GB2312" w:cs="仿宋_GB2312"/>
          <w:color w:val="000000"/>
          <w:sz w:val="30"/>
          <w:lang w:val="zh-CN"/>
        </w:rPr>
        <w:t>，</w:t>
      </w:r>
      <w:r>
        <w:rPr>
          <w:rFonts w:hint="eastAsia" w:ascii="仿宋_GB2312" w:hAnsi="仿宋_GB2312" w:eastAsia="仿宋_GB2312" w:cs="仿宋_GB2312"/>
          <w:color w:val="000000"/>
          <w:sz w:val="30"/>
          <w:lang w:val="zh-CN" w:eastAsia="zh-CN"/>
        </w:rPr>
        <w:t>上年无此项支出</w:t>
      </w:r>
      <w:r>
        <w:rPr>
          <w:rFonts w:hint="eastAsia" w:ascii="仿宋_GB2312" w:hAnsi="仿宋_GB2312" w:eastAsia="仿宋_GB2312" w:cs="仿宋_GB2312"/>
          <w:color w:val="000000"/>
          <w:sz w:val="30"/>
          <w:lang w:val="zh-CN"/>
        </w:rPr>
        <w:t>；公务用车购置费支出决算减少180</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color w:val="000000"/>
          <w:sz w:val="30"/>
          <w:lang w:val="zh-CN" w:eastAsia="zh-CN"/>
        </w:rPr>
        <w:t>元</w:t>
      </w:r>
      <w:r>
        <w:rPr>
          <w:rFonts w:hint="eastAsia" w:ascii="仿宋_GB2312" w:hAnsi="仿宋_GB2312" w:eastAsia="仿宋_GB2312" w:cs="仿宋_GB2312"/>
          <w:color w:val="000000"/>
          <w:sz w:val="30"/>
          <w:lang w:val="zh-CN"/>
        </w:rPr>
        <w:t>，下降100.00%；公务用车</w:t>
      </w:r>
      <w:r>
        <w:rPr>
          <w:rFonts w:hint="eastAsia" w:ascii="仿宋_GB2312" w:hAnsi="仿宋_GB2312" w:eastAsia="仿宋_GB2312" w:cs="仿宋_GB2312"/>
          <w:color w:val="000000"/>
          <w:sz w:val="30"/>
          <w:lang w:val="zh-CN" w:eastAsia="zh-CN"/>
        </w:rPr>
        <w:t>运行维护费</w:t>
      </w:r>
      <w:r>
        <w:rPr>
          <w:rFonts w:hint="eastAsia" w:ascii="仿宋_GB2312" w:hAnsi="仿宋_GB2312" w:eastAsia="仿宋_GB2312" w:cs="仿宋_GB2312"/>
          <w:color w:val="000000"/>
          <w:sz w:val="30"/>
          <w:lang w:val="zh-CN"/>
        </w:rPr>
        <w:t>支出决算增加4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134.00</w:t>
      </w:r>
      <w:r>
        <w:rPr>
          <w:rFonts w:hint="eastAsia" w:ascii="仿宋_GB2312" w:hAnsi="仿宋_GB2312" w:eastAsia="仿宋_GB2312" w:cs="仿宋_GB2312"/>
          <w:color w:val="000000"/>
          <w:sz w:val="30"/>
          <w:lang w:val="zh-CN" w:eastAsia="zh-CN"/>
        </w:rPr>
        <w:t>元</w:t>
      </w:r>
      <w:r>
        <w:rPr>
          <w:rFonts w:hint="eastAsia" w:ascii="仿宋_GB2312" w:hAnsi="仿宋_GB2312" w:eastAsia="仿宋_GB2312" w:cs="仿宋_GB2312"/>
          <w:color w:val="000000"/>
          <w:sz w:val="30"/>
          <w:lang w:val="zh-CN"/>
        </w:rPr>
        <w:t>，增长52.56%；公务接待费支出决算减少2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613.00</w:t>
      </w:r>
      <w:r>
        <w:rPr>
          <w:rFonts w:hint="eastAsia" w:ascii="仿宋_GB2312" w:hAnsi="仿宋_GB2312" w:eastAsia="仿宋_GB2312" w:cs="仿宋_GB2312"/>
          <w:color w:val="000000"/>
          <w:sz w:val="30"/>
          <w:lang w:val="zh-CN" w:eastAsia="zh-CN"/>
        </w:rPr>
        <w:t>元</w:t>
      </w:r>
      <w:r>
        <w:rPr>
          <w:rFonts w:hint="eastAsia" w:ascii="仿宋_GB2312" w:hAnsi="仿宋_GB2312" w:eastAsia="仿宋_GB2312" w:cs="仿宋_GB2312"/>
          <w:color w:val="000000"/>
          <w:sz w:val="30"/>
          <w:lang w:val="zh-CN"/>
        </w:rPr>
        <w:t>，下降60.03%</w:t>
      </w:r>
      <w:r>
        <w:rPr>
          <w:rFonts w:hint="eastAsia" w:ascii="仿宋_GB2312" w:hAnsi="仿宋_GB2312" w:eastAsia="仿宋_GB2312" w:cs="仿宋_GB2312"/>
          <w:color w:val="000000"/>
          <w:sz w:val="30"/>
          <w:lang w:val="zh-CN" w:eastAsia="zh-CN"/>
        </w:rPr>
        <w:t>，具体是国内接待费支出决算</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000000"/>
          <w:sz w:val="30"/>
          <w:lang w:val="zh-CN"/>
        </w:rPr>
        <w:t>740.00</w:t>
      </w:r>
      <w:r>
        <w:rPr>
          <w:rFonts w:hint="eastAsia" w:ascii="仿宋_GB2312" w:hAnsi="仿宋_GB2312" w:eastAsia="仿宋_GB2312" w:cs="仿宋_GB2312"/>
          <w:color w:val="000000"/>
          <w:sz w:val="30"/>
          <w:lang w:val="zh-CN" w:eastAsia="zh-CN"/>
        </w:rPr>
        <w:t>元</w:t>
      </w:r>
      <w:r>
        <w:rPr>
          <w:rFonts w:hint="eastAsia" w:ascii="仿宋_GB2312" w:hAnsi="宋体" w:eastAsia="仿宋_GB2312" w:cs="Arial"/>
          <w:kern w:val="0"/>
          <w:sz w:val="30"/>
          <w:szCs w:val="30"/>
          <w:highlight w:val="none"/>
          <w:lang w:eastAsia="zh-CN"/>
        </w:rPr>
        <w:t>（其中：外事接待费支出决算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w:t>
      </w:r>
      <w:r>
        <w:rPr>
          <w:rFonts w:hint="eastAsia" w:ascii="仿宋_GB2312" w:hAnsi="宋体" w:eastAsia="仿宋_GB2312" w:cs="Arial"/>
          <w:kern w:val="0"/>
          <w:sz w:val="30"/>
          <w:szCs w:val="30"/>
          <w:highlight w:val="none"/>
          <w:lang w:val="en-US" w:eastAsia="zh-CN"/>
        </w:rPr>
        <w:t>减少2</w:t>
      </w:r>
      <w:r>
        <w:rPr>
          <w:rFonts w:hint="eastAsia" w:ascii="仿宋_GB2312" w:hAnsi="仿宋_GB2312" w:eastAsia="仿宋_GB2312" w:cs="仿宋_GB2312"/>
          <w:color w:val="auto"/>
          <w:sz w:val="30"/>
          <w:lang w:val="en-US" w:eastAsia="zh-CN"/>
        </w:rPr>
        <w:t>,</w:t>
      </w:r>
      <w:r>
        <w:rPr>
          <w:rFonts w:hint="eastAsia" w:ascii="仿宋_GB2312" w:hAnsi="宋体" w:eastAsia="仿宋_GB2312" w:cs="Arial"/>
          <w:kern w:val="0"/>
          <w:sz w:val="30"/>
          <w:szCs w:val="30"/>
          <w:highlight w:val="none"/>
          <w:lang w:val="en-US" w:eastAsia="zh-CN"/>
        </w:rPr>
        <w:t>613.00元，下降60.03%；</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w:t>
      </w:r>
      <w:r>
        <w:rPr>
          <w:rFonts w:hint="eastAsia" w:ascii="仿宋_GB2312" w:hAnsi="宋体" w:eastAsia="仿宋_GB2312" w:cs="Arial"/>
          <w:kern w:val="0"/>
          <w:sz w:val="30"/>
          <w:szCs w:val="30"/>
          <w:highlight w:val="none"/>
          <w:lang w:val="en-US" w:eastAsia="zh-CN"/>
        </w:rPr>
        <w:t>减少0.00元</w:t>
      </w:r>
      <w:r>
        <w:rPr>
          <w:rFonts w:hint="eastAsia" w:ascii="Times New Roman" w:hAnsi="Times New Roman" w:eastAsia="仿宋_GB2312"/>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一般公共预算财政拨款“三公”经费支出决算减少的主要原因</w:t>
      </w:r>
      <w:r>
        <w:rPr>
          <w:rFonts w:hint="eastAsia" w:ascii="仿宋_GB2312" w:eastAsia="仿宋_GB2312"/>
          <w:sz w:val="30"/>
          <w:szCs w:val="30"/>
          <w:highlight w:val="none"/>
          <w:lang w:eastAsia="zh-CN"/>
        </w:rPr>
        <w:t>：</w:t>
      </w:r>
      <w:r>
        <w:rPr>
          <w:rFonts w:hint="eastAsia" w:ascii="Times New Roman" w:hAnsi="Times New Roman" w:eastAsia="仿宋_GB2312"/>
          <w:sz w:val="30"/>
          <w:szCs w:val="30"/>
          <w:highlight w:val="none"/>
          <w:lang w:val="en-US" w:eastAsia="zh-CN"/>
        </w:rPr>
        <w:t>2024年度购置了应急保障用车一辆</w:t>
      </w:r>
      <w:r>
        <w:rPr>
          <w:rFonts w:hint="eastAsia" w:eastAsia="仿宋_GB2312"/>
          <w:sz w:val="30"/>
          <w:szCs w:val="30"/>
          <w:highlight w:val="none"/>
          <w:lang w:val="en-US" w:eastAsia="zh-CN"/>
        </w:rPr>
        <w:t>；2025年接待费用减少。</w:t>
      </w:r>
    </w:p>
    <w:p>
      <w:pPr>
        <w:keepNext w:val="0"/>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pPr>
        <w:keepLines/>
        <w:pageBreakBefore w:val="0"/>
        <w:widowControl/>
        <w:numPr>
          <w:ilvl w:val="0"/>
          <w:numId w:val="3"/>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eastAsia="仿宋_GB2312"/>
          <w:b w:val="0"/>
          <w:bCs/>
          <w:sz w:val="30"/>
          <w:szCs w:val="30"/>
          <w:highlight w:val="none"/>
        </w:rPr>
      </w:pPr>
      <w:r>
        <w:rPr>
          <w:rFonts w:hint="eastAsia" w:ascii="仿宋_GB2312" w:eastAsia="仿宋_GB2312"/>
          <w:b w:val="0"/>
          <w:bCs/>
          <w:sz w:val="30"/>
          <w:szCs w:val="30"/>
          <w:highlight w:val="none"/>
        </w:rPr>
        <w:t>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pPr>
        <w:keepLines/>
        <w:pageBreakBefore w:val="0"/>
        <w:widowControl/>
        <w:numPr>
          <w:ilvl w:val="0"/>
          <w:numId w:val="0"/>
        </w:numPr>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eastAsia="仿宋_GB2312"/>
          <w:b w:val="0"/>
          <w:bCs/>
          <w:sz w:val="30"/>
          <w:szCs w:val="30"/>
          <w:highlight w:val="none"/>
          <w:lang w:val="en-US" w:eastAsia="zh-CN"/>
        </w:rPr>
        <w:t>2</w:t>
      </w:r>
      <w:r>
        <w:rPr>
          <w:rFonts w:hint="eastAsia" w:ascii="仿宋_GB2312" w:eastAsia="仿宋_GB2312"/>
          <w:b w:val="0"/>
          <w:bCs/>
          <w:sz w:val="30"/>
          <w:szCs w:val="30"/>
          <w:highlight w:val="none"/>
        </w:rPr>
        <w:t>辆。主要用于</w:t>
      </w:r>
      <w:r>
        <w:rPr>
          <w:rFonts w:hint="eastAsia" w:ascii="Times New Roman" w:hAnsi="Times New Roman" w:eastAsia="仿宋_GB2312"/>
          <w:b w:val="0"/>
          <w:bCs/>
          <w:sz w:val="30"/>
          <w:szCs w:val="30"/>
          <w:highlight w:val="none"/>
          <w:lang w:eastAsia="zh-CN"/>
        </w:rPr>
        <w:t>开展应急安全、食品安全管理、人居环境整治等农业农村工作</w:t>
      </w:r>
      <w:r>
        <w:rPr>
          <w:rFonts w:hint="eastAsia" w:ascii="Times New Roman" w:hAnsi="Times New Roman" w:eastAsia="仿宋_GB2312"/>
          <w:b w:val="0"/>
          <w:bCs/>
          <w:sz w:val="30"/>
          <w:szCs w:val="30"/>
          <w:highlight w:val="none"/>
        </w:rPr>
        <w:t>所需车辆</w:t>
      </w:r>
      <w:r>
        <w:rPr>
          <w:rFonts w:hint="eastAsia" w:ascii="仿宋_GB2312" w:eastAsia="仿宋_GB2312"/>
          <w:b w:val="0"/>
          <w:bCs/>
          <w:sz w:val="30"/>
          <w:szCs w:val="30"/>
          <w:highlight w:val="none"/>
        </w:rPr>
        <w:t>燃料费、维修费、过路过桥费、保险费等。</w:t>
      </w:r>
    </w:p>
    <w:p>
      <w:pPr>
        <w:keepLines/>
        <w:pageBreakBefore w:val="0"/>
        <w:widowControl/>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3</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32</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人）。主要用</w:t>
      </w:r>
      <w:r>
        <w:rPr>
          <w:rFonts w:hint="eastAsia" w:ascii="仿宋_GB2312" w:eastAsia="仿宋_GB2312"/>
          <w:sz w:val="30"/>
          <w:szCs w:val="30"/>
          <w:highlight w:val="none"/>
          <w:lang w:eastAsia="zh-CN"/>
        </w:rPr>
        <w:t>于通红甸乡农村发展服务中心对接第四季度市级基地申报事宜；通红甸乡农村发展服务中心斑茅稞基地实地考察柑桔品种、学习种植技术工作；玉溪市农业农村局及县各乡镇到华宁县开展</w:t>
      </w:r>
      <w:r>
        <w:rPr>
          <w:rFonts w:hint="eastAsia" w:ascii="仿宋_GB2312" w:eastAsia="仿宋_GB2312"/>
          <w:sz w:val="30"/>
          <w:szCs w:val="30"/>
          <w:highlight w:val="none"/>
          <w:lang w:val="en-US" w:eastAsia="zh-CN"/>
        </w:rPr>
        <w:t>2024年现代农业产业市级基地现场复核及评审工作</w:t>
      </w:r>
      <w:r>
        <w:rPr>
          <w:rFonts w:hint="eastAsia" w:ascii="仿宋_GB2312" w:eastAsia="仿宋_GB2312"/>
          <w:sz w:val="30"/>
          <w:szCs w:val="30"/>
          <w:highlight w:val="none"/>
        </w:rPr>
        <w:t>发生的接待支出。安排国（境）外公务接待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pPr>
        <w:keepLines/>
        <w:pageBreakBefore w:val="0"/>
        <w:widowControl/>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keepLines/>
        <w:pageBreakBefore w:val="0"/>
        <w:widowControl/>
        <w:kinsoku/>
        <w:wordWrap w:val="0"/>
        <w:overflowPunct/>
        <w:topLinePunct w:val="0"/>
        <w:autoSpaceDE/>
        <w:autoSpaceDN/>
        <w:bidi w:val="0"/>
        <w:adjustRightInd/>
        <w:snapToGrid w:val="0"/>
        <w:spacing w:line="360" w:lineRule="auto"/>
        <w:ind w:left="0" w:leftChars="0" w:right="0" w:rightChars="0" w:firstLine="600" w:firstLineChars="200"/>
        <w:jc w:val="both"/>
        <w:textAlignment w:val="auto"/>
        <w:rPr>
          <w:rFonts w:hint="eastAsia" w:ascii="仿宋_GB2312" w:eastAsia="仿宋_GB2312"/>
          <w:sz w:val="30"/>
          <w:szCs w:val="30"/>
          <w:highlight w:val="none"/>
          <w:lang w:eastAsia="zh-CN"/>
        </w:rPr>
      </w:pPr>
      <w:r>
        <w:rPr>
          <w:rFonts w:hint="eastAsia" w:ascii="Times New Roman" w:hAnsi="Times New Roman" w:eastAsia="仿宋_GB2312"/>
          <w:sz w:val="30"/>
          <w:szCs w:val="30"/>
          <w:highlight w:val="none"/>
          <w:lang w:eastAsia="zh-CN"/>
        </w:rPr>
        <w:t>不存在需要说明的事项。</w:t>
      </w:r>
    </w:p>
    <w:p>
      <w:pPr>
        <w:keepLines/>
        <w:pageBreakBefore w:val="0"/>
        <w:widowControl/>
        <w:kinsoku/>
        <w:wordWrap w:val="0"/>
        <w:overflowPunct/>
        <w:topLinePunct w:val="0"/>
        <w:autoSpaceDE/>
        <w:autoSpaceDN/>
        <w:bidi w:val="0"/>
        <w:adjustRightInd/>
        <w:snapToGrid w:val="0"/>
        <w:spacing w:line="360" w:lineRule="auto"/>
        <w:ind w:left="0" w:leftChars="0" w:right="0" w:rightChars="0" w:firstLine="640" w:firstLineChars="200"/>
        <w:jc w:val="left"/>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华宁县农业农村局（本级）</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305,779.50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786.77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000000"/>
          <w:sz w:val="30"/>
          <w:lang w:val="zh-CN"/>
        </w:rPr>
        <w:t>0.26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黑体" w:eastAsia="仿宋_GB2312" w:cs="方正小标宋简体"/>
          <w:sz w:val="30"/>
          <w:szCs w:val="30"/>
          <w:highlight w:val="none"/>
          <w:lang w:eastAsia="zh-CN"/>
        </w:rPr>
        <w:t>增长变化不大。单位</w:t>
      </w:r>
      <w:r>
        <w:rPr>
          <w:rFonts w:hint="eastAsia" w:ascii="仿宋_GB2312" w:hAnsi="黑体" w:eastAsia="仿宋_GB2312" w:cs="方正小标宋简体"/>
          <w:sz w:val="30"/>
          <w:szCs w:val="30"/>
          <w:highlight w:val="none"/>
        </w:rPr>
        <w:t>机关运行经费主要用于办公费、印刷费、差旅费、邮电费、会议费、培训费、公务接待费、工会经费、福利费、其他交通费等。</w:t>
      </w:r>
    </w:p>
    <w:p>
      <w:pPr>
        <w:keepLines/>
        <w:pageBreakBefore w:val="0"/>
        <w:widowControl/>
        <w:kinsoku/>
        <w:wordWrap w:val="0"/>
        <w:overflowPunct/>
        <w:topLinePunct w:val="0"/>
        <w:autoSpaceDE/>
        <w:autoSpaceDN/>
        <w:bidi w:val="0"/>
        <w:adjustRightInd/>
        <w:ind w:left="0" w:leftChars="0" w:right="0" w:rightChars="0" w:firstLine="600" w:firstLineChars="200"/>
        <w:textAlignment w:val="auto"/>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keepLines/>
        <w:pageBreakBefore w:val="0"/>
        <w:widowControl/>
        <w:kinsoku/>
        <w:wordWrap w:val="0"/>
        <w:overflowPunct/>
        <w:topLinePunct w:val="0"/>
        <w:autoSpaceDE/>
        <w:autoSpaceDN/>
        <w:bidi w:val="0"/>
        <w:adjustRightInd/>
        <w:ind w:left="0" w:leftChars="0" w:right="0" w:rightChars="0" w:firstLine="600" w:firstLineChars="200"/>
        <w:textAlignment w:val="auto"/>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华宁县农业农村局（本级）</w:t>
      </w:r>
      <w:r>
        <w:rPr>
          <w:rFonts w:hint="eastAsia" w:ascii="仿宋_GB2312" w:hAnsi="仿宋_GB2312" w:eastAsia="仿宋_GB2312" w:cs="仿宋_GB2312"/>
          <w:sz w:val="30"/>
          <w:szCs w:val="30"/>
          <w:highlight w:val="none"/>
          <w:lang w:eastAsia="zh-CN"/>
        </w:rPr>
        <w:t>资产总额4,564,143.00元，其中，流动资产4,341,613.57元，固定资产222,529.43元（净值），对外投资及有价证券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 xml:space="preserve">。与上年相比，本年资产总额减少749,075.56 </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 xml:space="preserve">，其中固定资产减少47,344.62 </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keepLines/>
        <w:pageBreakBefore w:val="0"/>
        <w:widowControl/>
        <w:kinsoku/>
        <w:wordWrap w:val="0"/>
        <w:overflowPunct/>
        <w:topLinePunct w:val="0"/>
        <w:autoSpaceDE/>
        <w:autoSpaceDN/>
        <w:bidi w:val="0"/>
        <w:adjustRightInd/>
        <w:ind w:left="0" w:leftChars="0" w:right="0" w:rightChars="0" w:firstLine="600" w:firstLineChars="200"/>
        <w:textAlignment w:val="auto"/>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8"/>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tblPrEx>
          <w:tblLayout w:type="fixed"/>
          <w:tblCellMar>
            <w:top w:w="0" w:type="dxa"/>
            <w:left w:w="0" w:type="dxa"/>
            <w:bottom w:w="0" w:type="dxa"/>
            <w:right w:w="0" w:type="dxa"/>
          </w:tblCellMar>
        </w:tblPrEx>
        <w:trPr>
          <w:trHeight w:val="495" w:hRule="atLeast"/>
        </w:trPr>
        <w:tc>
          <w:tcPr>
            <w:tcW w:w="142" w:type="dxa"/>
            <w:tcBorders>
              <w:top w:val="nil"/>
              <w:left w:val="nil"/>
              <w:bottom w:val="nil"/>
              <w:right w:val="nil"/>
            </w:tcBorders>
            <w:vAlign w:val="center"/>
          </w:tcPr>
          <w:p>
            <w:pPr>
              <w:keepLines/>
              <w:pageBreakBefore w:val="0"/>
              <w:widowControl/>
              <w:kinsoku/>
              <w:wordWrap w:val="0"/>
              <w:overflowPunct/>
              <w:topLinePunct w:val="0"/>
              <w:autoSpaceDE/>
              <w:autoSpaceDN/>
              <w:bidi w:val="0"/>
              <w:adjustRightInd/>
              <w:ind w:left="0" w:leftChars="0" w:right="0" w:rightChars="0"/>
              <w:jc w:val="left"/>
              <w:textAlignment w:val="auto"/>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7" w:hRule="atLeast"/>
        </w:trPr>
        <w:tc>
          <w:tcPr>
            <w:tcW w:w="142" w:type="dxa"/>
            <w:tcBorders>
              <w:top w:val="nil"/>
              <w:left w:val="nil"/>
              <w:bottom w:val="nil"/>
              <w:right w:val="nil"/>
            </w:tcBorders>
            <w:vAlign w:val="center"/>
          </w:tcPr>
          <w:p>
            <w:pPr>
              <w:keepLines/>
              <w:pageBreakBefore w:val="0"/>
              <w:widowControl/>
              <w:kinsoku/>
              <w:wordWrap w:val="0"/>
              <w:overflowPunct/>
              <w:topLinePunct w:val="0"/>
              <w:autoSpaceDE/>
              <w:autoSpaceDN/>
              <w:bidi w:val="0"/>
              <w:adjustRightInd/>
              <w:ind w:left="0" w:leftChars="0" w:right="0" w:rightChars="0"/>
              <w:jc w:val="left"/>
              <w:textAlignment w:val="auto"/>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15" w:hRule="atLeast"/>
        </w:trPr>
        <w:tc>
          <w:tcPr>
            <w:tcW w:w="142" w:type="dxa"/>
            <w:tcBorders>
              <w:top w:val="nil"/>
              <w:left w:val="nil"/>
              <w:bottom w:val="nil"/>
              <w:right w:val="nil"/>
            </w:tcBorders>
            <w:vAlign w:val="center"/>
          </w:tcPr>
          <w:p>
            <w:pPr>
              <w:keepLines/>
              <w:pageBreakBefore w:val="0"/>
              <w:widowControl/>
              <w:kinsoku/>
              <w:wordWrap w:val="0"/>
              <w:overflowPunct/>
              <w:topLinePunct w:val="0"/>
              <w:autoSpaceDE/>
              <w:autoSpaceDN/>
              <w:bidi w:val="0"/>
              <w:adjustRightInd/>
              <w:ind w:left="0" w:leftChars="0" w:right="0" w:rightChars="0"/>
              <w:jc w:val="left"/>
              <w:textAlignment w:val="auto"/>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5" w:hRule="atLeast"/>
        </w:trPr>
        <w:tc>
          <w:tcPr>
            <w:tcW w:w="142" w:type="dxa"/>
            <w:tcBorders>
              <w:top w:val="nil"/>
              <w:left w:val="nil"/>
              <w:bottom w:val="nil"/>
              <w:right w:val="nil"/>
            </w:tcBorders>
            <w:vAlign w:val="center"/>
          </w:tcPr>
          <w:p>
            <w:pPr>
              <w:keepLines/>
              <w:pageBreakBefore w:val="0"/>
              <w:widowControl/>
              <w:kinsoku/>
              <w:wordWrap w:val="0"/>
              <w:overflowPunct/>
              <w:topLinePunct w:val="0"/>
              <w:autoSpaceDE/>
              <w:autoSpaceDN/>
              <w:bidi w:val="0"/>
              <w:adjustRightInd/>
              <w:ind w:left="0" w:leftChars="0" w:right="0" w:rightChars="0"/>
              <w:jc w:val="left"/>
              <w:textAlignment w:val="auto"/>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95" w:hRule="atLeast"/>
        </w:trPr>
        <w:tc>
          <w:tcPr>
            <w:tcW w:w="142" w:type="dxa"/>
            <w:tcBorders>
              <w:top w:val="nil"/>
              <w:left w:val="nil"/>
              <w:bottom w:val="nil"/>
              <w:right w:val="nil"/>
            </w:tcBorders>
            <w:vAlign w:val="center"/>
          </w:tcPr>
          <w:p>
            <w:pPr>
              <w:keepLines/>
              <w:pageBreakBefore w:val="0"/>
              <w:widowControl/>
              <w:kinsoku/>
              <w:wordWrap w:val="0"/>
              <w:overflowPunct/>
              <w:topLinePunct w:val="0"/>
              <w:autoSpaceDE/>
              <w:autoSpaceDN/>
              <w:bidi w:val="0"/>
              <w:adjustRightInd/>
              <w:ind w:left="0" w:leftChars="0" w:right="0" w:rightChars="0"/>
              <w:jc w:val="left"/>
              <w:textAlignment w:val="auto"/>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58" w:hRule="atLeast"/>
        </w:trPr>
        <w:tc>
          <w:tcPr>
            <w:tcW w:w="142" w:type="dxa"/>
            <w:tcBorders>
              <w:top w:val="nil"/>
              <w:left w:val="nil"/>
              <w:bottom w:val="nil"/>
              <w:right w:val="nil"/>
            </w:tcBorders>
            <w:vAlign w:val="center"/>
          </w:tcPr>
          <w:p>
            <w:pPr>
              <w:keepLines/>
              <w:pageBreakBefore w:val="0"/>
              <w:widowControl/>
              <w:kinsoku/>
              <w:wordWrap w:val="0"/>
              <w:overflowPunct/>
              <w:topLinePunct w:val="0"/>
              <w:autoSpaceDE/>
              <w:autoSpaceDN/>
              <w:bidi w:val="0"/>
              <w:adjustRightInd/>
              <w:ind w:left="0" w:leftChars="0" w:right="0" w:rightChars="0"/>
              <w:jc w:val="left"/>
              <w:textAlignment w:val="auto"/>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563" w:hRule="atLeast"/>
        </w:trPr>
        <w:tc>
          <w:tcPr>
            <w:tcW w:w="142" w:type="dxa"/>
            <w:tcBorders>
              <w:top w:val="nil"/>
              <w:left w:val="nil"/>
              <w:bottom w:val="nil"/>
              <w:right w:val="nil"/>
            </w:tcBorders>
            <w:vAlign w:val="center"/>
          </w:tcPr>
          <w:p>
            <w:pPr>
              <w:keepLines/>
              <w:pageBreakBefore w:val="0"/>
              <w:widowControl/>
              <w:kinsoku/>
              <w:wordWrap w:val="0"/>
              <w:overflowPunct/>
              <w:topLinePunct w:val="0"/>
              <w:autoSpaceDE/>
              <w:autoSpaceDN/>
              <w:bidi w:val="0"/>
              <w:adjustRightInd/>
              <w:ind w:left="0" w:leftChars="0" w:right="0" w:rightChars="0"/>
              <w:jc w:val="left"/>
              <w:textAlignment w:val="auto"/>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95" w:hRule="atLeast"/>
        </w:trPr>
        <w:tc>
          <w:tcPr>
            <w:tcW w:w="142" w:type="dxa"/>
            <w:vAlign w:val="center"/>
          </w:tcPr>
          <w:p>
            <w:pPr>
              <w:keepLines/>
              <w:pageBreakBefore w:val="0"/>
              <w:widowControl/>
              <w:kinsoku/>
              <w:wordWrap w:val="0"/>
              <w:overflowPunct/>
              <w:topLinePunct w:val="0"/>
              <w:autoSpaceDE/>
              <w:autoSpaceDN/>
              <w:bidi w:val="0"/>
              <w:adjustRightInd/>
              <w:ind w:left="0" w:leftChars="0" w:right="0" w:rightChars="0"/>
              <w:jc w:val="left"/>
              <w:textAlignment w:val="auto"/>
              <w:rPr>
                <w:rFonts w:ascii="Times New Roman" w:hAnsi="Times New Roman" w:eastAsia="Times New Roman"/>
                <w:kern w:val="0"/>
                <w:sz w:val="20"/>
                <w:szCs w:val="20"/>
                <w:highlight w:val="none"/>
              </w:rPr>
            </w:pPr>
          </w:p>
        </w:tc>
      </w:tr>
    </w:tbl>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keepLines/>
        <w:pageBreakBefore w:val="0"/>
        <w:widowControl/>
        <w:kinsoku/>
        <w:wordWrap w:val="0"/>
        <w:overflowPunct/>
        <w:topLinePunct w:val="0"/>
        <w:autoSpaceDE/>
        <w:autoSpaceDN/>
        <w:bidi w:val="0"/>
        <w:adjustRightInd/>
        <w:ind w:left="0" w:leftChars="0" w:right="0" w:rightChars="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41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535.00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535.00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32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000.00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15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937.00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keepLines/>
        <w:pageBreakBefore w:val="0"/>
        <w:widowControl/>
        <w:kinsoku/>
        <w:wordWrap w:val="0"/>
        <w:overflowPunct/>
        <w:topLinePunct w:val="0"/>
        <w:autoSpaceDE/>
        <w:autoSpaceDN/>
        <w:bidi w:val="0"/>
        <w:adjustRightInd/>
        <w:snapToGrid w:val="0"/>
        <w:spacing w:line="360" w:lineRule="auto"/>
        <w:ind w:left="0" w:leftChars="0" w:right="0" w:rightChars="0" w:firstLine="600"/>
        <w:jc w:val="left"/>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keepLines/>
        <w:pageBreakBefore w:val="0"/>
        <w:widowControl/>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keepNext/>
        <w:keepLines/>
        <w:pageBreakBefore w:val="0"/>
        <w:widowControl/>
        <w:kinsoku/>
        <w:wordWrap w:val="0"/>
        <w:overflowPunct/>
        <w:topLinePunct w:val="0"/>
        <w:autoSpaceDE/>
        <w:autoSpaceDN/>
        <w:bidi w:val="0"/>
        <w:adjustRightInd/>
        <w:ind w:left="0" w:leftChars="0" w:right="0" w:rightChars="0" w:firstLine="600" w:firstLineChars="200"/>
        <w:jc w:val="both"/>
        <w:textAlignment w:val="auto"/>
        <w:rPr>
          <w:rFonts w:hint="eastAsia" w:ascii="Times New Roman" w:hAnsi="Times New Roman" w:eastAsia="仿宋_GB2312" w:cs="方正小标宋简体"/>
          <w:sz w:val="30"/>
          <w:szCs w:val="30"/>
          <w:highlight w:val="none"/>
          <w:lang w:val="en-US" w:eastAsia="zh-CN"/>
        </w:rPr>
      </w:pPr>
      <w:r>
        <w:rPr>
          <w:rFonts w:hint="eastAsia" w:ascii="Times New Roman" w:hAnsi="Times New Roman" w:eastAsia="仿宋_GB2312" w:cs="方正小标宋简体"/>
          <w:sz w:val="30"/>
          <w:szCs w:val="30"/>
          <w:highlight w:val="none"/>
          <w:lang w:val="en-US"/>
        </w:rPr>
        <w:t>无其他重要事项情况说明</w:t>
      </w:r>
      <w:r>
        <w:rPr>
          <w:rFonts w:hint="eastAsia" w:ascii="Times New Roman" w:hAnsi="Times New Roman" w:eastAsia="仿宋_GB2312" w:cs="方正小标宋简体"/>
          <w:sz w:val="30"/>
          <w:szCs w:val="30"/>
          <w:highlight w:val="none"/>
          <w:lang w:val="en-US" w:eastAsia="zh-CN"/>
        </w:rPr>
        <w:t>。</w:t>
      </w:r>
    </w:p>
    <w:p>
      <w:pPr>
        <w:keepLines/>
        <w:pageBreakBefore w:val="0"/>
        <w:widowControl/>
        <w:kinsoku/>
        <w:wordWrap w:val="0"/>
        <w:overflowPunct/>
        <w:topLinePunct w:val="0"/>
        <w:autoSpaceDE/>
        <w:autoSpaceDN/>
        <w:bidi w:val="0"/>
        <w:adjustRightInd/>
        <w:snapToGrid w:val="0"/>
        <w:spacing w:line="360" w:lineRule="auto"/>
        <w:ind w:left="0" w:leftChars="0" w:right="0" w:rightChars="0"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keepLines/>
        <w:pageBreakBefore w:val="0"/>
        <w:widowControl/>
        <w:kinsoku/>
        <w:wordWrap w:val="0"/>
        <w:overflowPunct/>
        <w:topLinePunct w:val="0"/>
        <w:autoSpaceDE/>
        <w:autoSpaceDN/>
        <w:bidi w:val="0"/>
        <w:adjustRightInd/>
        <w:ind w:left="0" w:leftChars="0" w:right="0" w:rightChars="0"/>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keepNext/>
        <w:keepLines/>
        <w:pageBreakBefore w:val="0"/>
        <w:widowControl/>
        <w:kinsoku/>
        <w:wordWrap w:val="0"/>
        <w:overflowPunct/>
        <w:topLinePunct w:val="0"/>
        <w:autoSpaceDE/>
        <w:autoSpaceDN/>
        <w:bidi w:val="0"/>
        <w:adjustRightInd/>
        <w:ind w:left="0" w:leftChars="0" w:right="0" w:rightChars="0" w:firstLine="600" w:firstLineChars="200"/>
        <w:jc w:val="left"/>
        <w:textAlignment w:val="auto"/>
        <w:rPr>
          <w:rFonts w:hint="eastAsia" w:ascii="Times New Roman" w:hAnsi="Times New Roman" w:eastAsia="仿宋_GB2312" w:cs="方正小标宋简体"/>
          <w:sz w:val="30"/>
          <w:szCs w:val="30"/>
          <w:highlight w:val="none"/>
          <w:lang w:eastAsia="zh-CN"/>
        </w:rPr>
      </w:pPr>
      <w:r>
        <w:rPr>
          <w:rFonts w:hint="eastAsia" w:ascii="Times New Roman" w:hAnsi="Times New Roman" w:eastAsia="仿宋_GB2312" w:cs="方正小标宋简体"/>
          <w:sz w:val="30"/>
          <w:szCs w:val="30"/>
          <w:highlight w:val="none"/>
          <w:lang w:eastAsia="zh-CN"/>
        </w:rPr>
        <w:t>【部门决算】</w:t>
      </w:r>
    </w:p>
    <w:p>
      <w:pPr>
        <w:keepLines/>
        <w:pageBreakBefore w:val="0"/>
        <w:widowControl/>
        <w:kinsoku/>
        <w:wordWrap w:val="0"/>
        <w:overflowPunct/>
        <w:topLinePunct w:val="0"/>
        <w:autoSpaceDE/>
        <w:autoSpaceDN/>
        <w:bidi w:val="0"/>
        <w:adjustRightInd/>
        <w:ind w:left="0" w:leftChars="0" w:right="0" w:rightChars="0"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各部门依据国家有关法律法规规定及其履行职能情况编制，反映部门和单位所有预算收支和结余执行结果及绩效等情况的综合性年度报告，是改进部门预算执行以及编制后续年度部门预算的参考和依据。</w:t>
      </w:r>
    </w:p>
    <w:bookmarkEnd w:id="0"/>
    <w:p>
      <w:pPr>
        <w:keepLines/>
        <w:pageBreakBefore w:val="0"/>
        <w:widowControl/>
        <w:kinsoku/>
        <w:wordWrap w:val="0"/>
        <w:overflowPunct/>
        <w:topLinePunct w:val="0"/>
        <w:autoSpaceDE/>
        <w:autoSpaceDN/>
        <w:bidi w:val="0"/>
        <w:adjustRightInd/>
        <w:ind w:left="0" w:leftChars="0" w:right="0" w:rightChars="0"/>
        <w:textAlignment w:val="auto"/>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Lucida Console">
    <w:panose1 w:val="020B0609040504020204"/>
    <w:charset w:val="00"/>
    <w:family w:val="auto"/>
    <w:pitch w:val="default"/>
    <w:sig w:usb0="8000028F" w:usb1="00001800" w:usb2="00000000" w:usb3="00000000" w:csb0="0000001F" w:csb1="D7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楷体_GBK">
    <w:panose1 w:val="03000509000000000000"/>
    <w:charset w:val="86"/>
    <w:family w:val="script"/>
    <w:pitch w:val="default"/>
    <w:sig w:usb0="00000001" w:usb1="080E0000" w:usb2="00000000" w:usb3="00000000" w:csb0="00040000" w:csb1="00000000"/>
  </w:font>
  <w:font w:name="Dotum">
    <w:panose1 w:val="020B0600000101010101"/>
    <w:charset w:val="81"/>
    <w:family w:val="swiss"/>
    <w:pitch w:val="default"/>
    <w:sig w:usb0="B00002AF" w:usb1="69D77CFB" w:usb2="00000030" w:usb3="00000000" w:csb0="4008009F" w:csb1="DFD70000"/>
  </w:font>
  <w:font w:name="MingLiU">
    <w:panose1 w:val="02020509000000000000"/>
    <w:charset w:val="88"/>
    <w:family w:val="modern"/>
    <w:pitch w:val="default"/>
    <w:sig w:usb0="A00002FF" w:usb1="28CFFCFA"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algun Gothic">
    <w:panose1 w:val="020B0503020000020004"/>
    <w:charset w:val="81"/>
    <w:family w:val="auto"/>
    <w:pitch w:val="default"/>
    <w:sig w:usb0="900002AF" w:usb1="01D77CFB" w:usb2="00000012" w:usb3="00000000" w:csb0="00080001" w:csb1="00000000"/>
  </w:font>
  <w:font w:name="GungsuhChe">
    <w:panose1 w:val="02030609000101010101"/>
    <w:charset w:val="81"/>
    <w:family w:val="auto"/>
    <w:pitch w:val="default"/>
    <w:sig w:usb0="B00002AF" w:usb1="69D77CFB" w:usb2="00000030" w:usb3="00000000" w:csb0="4008009F" w:csb1="DFD70000"/>
  </w:font>
  <w:font w:name="-apple-syste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Neue">
    <w:altName w:val="Segoe Print"/>
    <w:panose1 w:val="00000000000000000000"/>
    <w:charset w:val="00"/>
    <w:family w:val="auto"/>
    <w:pitch w:val="default"/>
    <w:sig w:usb0="00000000" w:usb1="00000000" w:usb2="00000000" w:usb3="00000000" w:csb0="00000000" w:csb1="00000000"/>
  </w:font>
  <w:font w:name="PingFang SC">
    <w:altName w:val="Segoe Print"/>
    <w:panose1 w:val="00000000000000000000"/>
    <w:charset w:val="00"/>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20B0300000000000000"/>
    <w:charset w:val="86"/>
    <w:family w:val="script"/>
    <w:pitch w:val="default"/>
    <w:sig w:usb0="00000001" w:usb1="080F1810" w:usb2="00000016" w:usb3="00000000" w:csb0="00060007" w:csb1="00000000"/>
  </w:font>
  <w:font w:name="方正黑体_GBK">
    <w:panose1 w:val="03000509000000000000"/>
    <w:charset w:val="86"/>
    <w:family w:val="script"/>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Style w:val="7"/>
                            </w:rPr>
                          </w:pPr>
                          <w:r>
                            <w:rPr>
                              <w:rStyle w:val="7"/>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hpgkvTAAAA&#10;BQEAAA8AAAAAAAAAAQAgAAAAIgAAAGRycy9kb3ducmV2LnhtbFBLAQIUABQAAAAIAIdO4kCY3bFM&#10;sAEAAEkDAAAOAAAAAAAAAAEAIAAAACIBAABkcnMvZTJvRG9jLnhtbFBLBQYAAAAABgAGAFkBAABE&#10;BQAAAAA=&#10;">
              <v:fill on="f" focussize="0,0"/>
              <v:stroke on="f" weight="1.25pt"/>
              <v:imagedata o:title=""/>
              <o:lock v:ext="edit" aspectratio="f"/>
              <v:textbox inset="0mm,0mm,0mm,0mm" style="mso-fit-shape-to-text:t;">
                <w:txbxContent>
                  <w:p>
                    <w:pPr>
                      <w:pStyle w:val="3"/>
                      <w:rPr>
                        <w:rStyle w:val="7"/>
                      </w:rPr>
                    </w:pPr>
                    <w:r>
                      <w:rPr>
                        <w:rStyle w:val="7"/>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CC7CD"/>
    <w:multiLevelType w:val="singleLevel"/>
    <w:tmpl w:val="6ACCC7CD"/>
    <w:lvl w:ilvl="0" w:tentative="0">
      <w:start w:val="4"/>
      <w:numFmt w:val="chineseCounting"/>
      <w:suff w:val="nothing"/>
      <w:lvlText w:val="%1、"/>
      <w:lvlJc w:val="left"/>
      <w:rPr>
        <w:rFonts w:hint="eastAsia"/>
      </w:rPr>
    </w:lvl>
  </w:abstractNum>
  <w:abstractNum w:abstractNumId="1">
    <w:nsid w:val="6ACDF125"/>
    <w:multiLevelType w:val="singleLevel"/>
    <w:tmpl w:val="6ACDF125"/>
    <w:lvl w:ilvl="0" w:tentative="0">
      <w:start w:val="1"/>
      <w:numFmt w:val="decimal"/>
      <w:suff w:val="nothing"/>
      <w:lvlText w:val="%1."/>
      <w:lvlJc w:val="left"/>
    </w:lvl>
  </w:abstractNum>
  <w:abstractNum w:abstractNumId="2">
    <w:nsid w:val="6ACEE8D9"/>
    <w:multiLevelType w:val="singleLevel"/>
    <w:tmpl w:val="6ACEE8D9"/>
    <w:lvl w:ilvl="0" w:tentative="0">
      <w:start w:val="1"/>
      <w:numFmt w:val="chineseCounting"/>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3242E"/>
    <w:rsid w:val="081561DE"/>
    <w:rsid w:val="22C049DD"/>
    <w:rsid w:val="2719376B"/>
    <w:rsid w:val="2F706D98"/>
    <w:rsid w:val="31337E01"/>
    <w:rsid w:val="42297E7C"/>
    <w:rsid w:val="5F0706BC"/>
    <w:rsid w:val="6D935544"/>
    <w:rsid w:val="6E580ED5"/>
    <w:rsid w:val="73C40D39"/>
    <w:rsid w:val="768A64D9"/>
  </w:rsids>
  <m:mathPr>
    <m:interSp m:val="0"/>
    <m:intraSp m:val="0"/>
    <m:lMargin m:val="0"/>
    <m:mathFont m:val="Cambria Math"/>
    <m:postSp m:val="0"/>
    <m:preSp m:val="0"/>
    <m:rMargin m:val="0"/>
    <m:wrapIndent m:val="1440"/>
    <m:brkBin m:val="before"/>
    <m:brkBinSub m:val="--"/>
    <m:defJc m:val="centerGroup"/>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75" w:afterAutospacing="0" w:line="384" w:lineRule="auto"/>
      <w:ind w:left="0" w:right="0"/>
      <w:jc w:val="left"/>
    </w:pPr>
    <w:rPr>
      <w:kern w:val="0"/>
      <w:sz w:val="21"/>
      <w:szCs w:val="21"/>
      <w:lang w:val="en-US" w:eastAsia="zh-CN" w:bidi="ar"/>
    </w:rPr>
  </w:style>
  <w:style w:type="character" w:styleId="7">
    <w:name w:val="page number"/>
    <w:basedOn w:val="6"/>
    <w:qFormat/>
    <w:uiPriority w:val="0"/>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8cbb09-68e9-4c56-8ef6-c996949f1187}">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32</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Administrator</cp:lastModifiedBy>
  <cp:lastPrinted>2024-07-30T06:24:00Z</cp:lastPrinted>
  <dcterms:modified xsi:type="dcterms:W3CDTF">2026-10-16T03:38:29Z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ICV">
    <vt:lpwstr>D45296F7F2444F3C8CDB43DA2E9FADD3</vt:lpwstr>
  </property>
</Properties>
</file>