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89BF0">
      <w:pPr>
        <w:jc w:val="center"/>
        <w:outlineLvl w:val="0"/>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olor w:val="auto"/>
          <w:sz w:val="36"/>
          <w:lang w:val="zh-CN"/>
        </w:rPr>
        <w:t>华宁县农村经济经营管理站</w:t>
      </w:r>
      <w:r>
        <w:rPr>
          <w:rFonts w:hint="eastAsia" w:ascii="Times New Roman" w:hAnsi="Times New Roman" w:eastAsia="方正小标宋简体" w:cs="方正小标宋简体"/>
          <w:color w:val="auto"/>
          <w:sz w:val="36"/>
          <w:szCs w:val="36"/>
          <w:highlight w:val="none"/>
          <w:lang w:val="en-US" w:eastAsia="zh-CN"/>
        </w:rPr>
        <w:t>2025年度</w:t>
      </w:r>
      <w:r>
        <w:rPr>
          <w:rFonts w:hint="eastAsia" w:ascii="Times New Roman" w:hAnsi="Times New Roman" w:eastAsia="方正小标宋简体" w:cs="方正小标宋简体"/>
          <w:color w:val="auto"/>
          <w:sz w:val="36"/>
          <w:szCs w:val="36"/>
          <w:highlight w:val="none"/>
        </w:rPr>
        <w:t>部门决算</w:t>
      </w:r>
    </w:p>
    <w:p w14:paraId="34E26631">
      <w:pPr>
        <w:jc w:val="center"/>
        <w:rPr>
          <w:rFonts w:hint="eastAsia" w:ascii="Times New Roman" w:hAnsi="Times New Roman" w:eastAsia="方正小标宋简体" w:cs="方正小标宋简体"/>
          <w:color w:val="auto"/>
          <w:sz w:val="36"/>
          <w:szCs w:val="36"/>
          <w:highlight w:val="none"/>
        </w:rPr>
      </w:pPr>
    </w:p>
    <w:p w14:paraId="0E030B11">
      <w:pPr>
        <w:jc w:val="center"/>
        <w:outlineLvl w:val="0"/>
        <w:rPr>
          <w:rFonts w:hint="eastAsia" w:ascii="Times New Roman" w:hAnsi="Times New Roman" w:eastAsia="方正小标宋简体" w:cs="方正小标宋简体"/>
          <w:color w:val="auto"/>
          <w:sz w:val="36"/>
          <w:szCs w:val="36"/>
          <w:highlight w:val="none"/>
          <w:lang w:eastAsia="zh-CN"/>
        </w:rPr>
      </w:pPr>
      <w:r>
        <w:rPr>
          <w:rFonts w:hint="eastAsia" w:ascii="Times New Roman" w:hAnsi="Times New Roman" w:eastAsia="方正小标宋简体" w:cs="方正小标宋简体"/>
          <w:color w:val="auto"/>
          <w:sz w:val="36"/>
          <w:szCs w:val="36"/>
          <w:highlight w:val="none"/>
          <w:lang w:eastAsia="zh-CN"/>
        </w:rPr>
        <w:t>目录</w:t>
      </w:r>
    </w:p>
    <w:p w14:paraId="0C321FD5">
      <w:pPr>
        <w:jc w:val="left"/>
        <w:rPr>
          <w:rFonts w:hint="eastAsia" w:ascii="Times New Roman" w:hAnsi="Times New Roman" w:eastAsia="黑体"/>
          <w:color w:val="auto"/>
          <w:sz w:val="30"/>
          <w:szCs w:val="30"/>
          <w:highlight w:val="none"/>
        </w:rPr>
      </w:pPr>
    </w:p>
    <w:p w14:paraId="6AF56A29">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 xml:space="preserve">第一部分  </w:t>
      </w:r>
      <w:r>
        <w:rPr>
          <w:rFonts w:hint="eastAsia" w:ascii="Times New Roman" w:hAnsi="Times New Roman" w:eastAsia="黑体"/>
          <w:color w:val="auto"/>
          <w:sz w:val="30"/>
          <w:szCs w:val="30"/>
          <w:highlight w:val="none"/>
          <w:lang w:eastAsia="zh-CN"/>
        </w:rPr>
        <w:t>单位</w:t>
      </w:r>
      <w:r>
        <w:rPr>
          <w:rFonts w:hint="eastAsia" w:ascii="Times New Roman" w:hAnsi="Times New Roman" w:eastAsia="黑体"/>
          <w:color w:val="auto"/>
          <w:sz w:val="30"/>
          <w:szCs w:val="30"/>
          <w:highlight w:val="none"/>
        </w:rPr>
        <w:t>概况</w:t>
      </w:r>
    </w:p>
    <w:p w14:paraId="073CB248">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一、主要职</w:t>
      </w:r>
      <w:r>
        <w:rPr>
          <w:rFonts w:hint="eastAsia" w:ascii="Times New Roman" w:hAnsi="Times New Roman" w:eastAsia="楷体"/>
          <w:color w:val="auto"/>
          <w:sz w:val="30"/>
          <w:szCs w:val="30"/>
          <w:highlight w:val="none"/>
          <w:lang w:eastAsia="zh-CN"/>
        </w:rPr>
        <w:t>责</w:t>
      </w:r>
    </w:p>
    <w:p w14:paraId="7A5CF0D1">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二、</w:t>
      </w:r>
      <w:r>
        <w:rPr>
          <w:rFonts w:hint="eastAsia" w:ascii="Times New Roman" w:hAnsi="Times New Roman" w:eastAsia="楷体"/>
          <w:color w:val="auto"/>
          <w:sz w:val="30"/>
          <w:szCs w:val="30"/>
          <w:highlight w:val="none"/>
          <w:lang w:eastAsia="zh-CN"/>
        </w:rPr>
        <w:t>基本情况</w:t>
      </w:r>
    </w:p>
    <w:p w14:paraId="1D51C833">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三、重点工作概述</w:t>
      </w:r>
    </w:p>
    <w:p w14:paraId="63DAD69F">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 xml:space="preserve">第二部分  </w:t>
      </w:r>
      <w:r>
        <w:rPr>
          <w:rFonts w:hint="eastAsia" w:ascii="Times New Roman" w:hAnsi="Times New Roman" w:eastAsia="黑体"/>
          <w:color w:val="auto"/>
          <w:sz w:val="30"/>
          <w:szCs w:val="30"/>
          <w:highlight w:val="none"/>
          <w:lang w:val="en-US" w:eastAsia="zh-CN"/>
        </w:rPr>
        <w:t>2025年度</w:t>
      </w:r>
      <w:r>
        <w:rPr>
          <w:rFonts w:hint="eastAsia" w:ascii="Times New Roman" w:hAnsi="Times New Roman" w:eastAsia="黑体"/>
          <w:color w:val="auto"/>
          <w:sz w:val="30"/>
          <w:szCs w:val="30"/>
          <w:highlight w:val="none"/>
        </w:rPr>
        <w:t>部门决算表</w:t>
      </w:r>
    </w:p>
    <w:p w14:paraId="4F7ABDD4">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一、收入支出决算表</w:t>
      </w:r>
    </w:p>
    <w:p w14:paraId="3411D6B1">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二、收入决算表</w:t>
      </w:r>
    </w:p>
    <w:p w14:paraId="65FB92C8">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三、支出决算表</w:t>
      </w:r>
    </w:p>
    <w:p w14:paraId="11B36EB2">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四、财政拨款收入支出决算表</w:t>
      </w:r>
    </w:p>
    <w:p w14:paraId="1983DF62">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五、一般公共预算财政拨款收入支出决算表</w:t>
      </w:r>
    </w:p>
    <w:p w14:paraId="7958ECF0">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六、一般公共预算财政拨款基本支出决算表</w:t>
      </w:r>
    </w:p>
    <w:p w14:paraId="438C74D6">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七、</w:t>
      </w:r>
      <w:r>
        <w:rPr>
          <w:rFonts w:hint="eastAsia" w:ascii="Times New Roman" w:hAnsi="Times New Roman" w:eastAsia="楷体"/>
          <w:color w:val="auto"/>
          <w:sz w:val="30"/>
          <w:szCs w:val="30"/>
          <w:highlight w:val="none"/>
          <w:lang w:eastAsia="zh-CN"/>
        </w:rPr>
        <w:t>一般公共预算财政拨款项目支出决算表</w:t>
      </w:r>
    </w:p>
    <w:p w14:paraId="743CD128">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八</w:t>
      </w:r>
      <w:r>
        <w:rPr>
          <w:rFonts w:hint="eastAsia" w:ascii="Times New Roman" w:hAnsi="Times New Roman" w:eastAsia="楷体"/>
          <w:color w:val="auto"/>
          <w:sz w:val="30"/>
          <w:szCs w:val="30"/>
          <w:highlight w:val="none"/>
        </w:rPr>
        <w:t>、政府性基金预算财政拨款收入支出决算表</w:t>
      </w:r>
    </w:p>
    <w:p w14:paraId="48E0D4DA">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九、国有资本经营预算财政拨款收入支出决算表</w:t>
      </w:r>
    </w:p>
    <w:p w14:paraId="715A95D3">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十</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财政拨款</w:t>
      </w:r>
      <w:r>
        <w:rPr>
          <w:rFonts w:hint="eastAsia" w:ascii="Times New Roman" w:hAnsi="Times New Roman" w:eastAsia="楷体"/>
          <w:color w:val="auto"/>
          <w:sz w:val="30"/>
          <w:szCs w:val="30"/>
          <w:highlight w:val="none"/>
        </w:rPr>
        <w:t>“三公”经费、行政参公单位机关运行经费情况表</w:t>
      </w:r>
    </w:p>
    <w:p w14:paraId="7749A1C2">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val="en-US" w:eastAsia="zh-CN"/>
        </w:rPr>
        <w:t>十一、一般公共预算财政拨款“三公”经费情况表</w:t>
      </w:r>
    </w:p>
    <w:p w14:paraId="694F2C1E">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第三部</w:t>
      </w:r>
      <w:r>
        <w:rPr>
          <w:rFonts w:hint="eastAsia" w:ascii="Times New Roman" w:hAnsi="Times New Roman" w:eastAsia="黑体"/>
          <w:color w:val="auto"/>
          <w:sz w:val="30"/>
          <w:szCs w:val="30"/>
          <w:highlight w:val="none"/>
          <w:lang w:eastAsia="zh-CN"/>
        </w:rPr>
        <w:t>分</w:t>
      </w:r>
      <w:r>
        <w:rPr>
          <w:rFonts w:hint="eastAsia" w:ascii="Times New Roman" w:hAnsi="Times New Roman" w:eastAsia="黑体"/>
          <w:color w:val="auto"/>
          <w:sz w:val="30"/>
          <w:szCs w:val="30"/>
          <w:highlight w:val="none"/>
        </w:rPr>
        <w:t xml:space="preserve">  </w:t>
      </w:r>
      <w:r>
        <w:rPr>
          <w:rFonts w:hint="eastAsia" w:ascii="Times New Roman" w:hAnsi="Times New Roman" w:eastAsia="黑体"/>
          <w:color w:val="auto"/>
          <w:sz w:val="30"/>
          <w:szCs w:val="30"/>
          <w:highlight w:val="none"/>
          <w:lang w:val="en-US" w:eastAsia="zh-CN"/>
        </w:rPr>
        <w:t>2025年度</w:t>
      </w:r>
      <w:r>
        <w:rPr>
          <w:rFonts w:hint="eastAsia" w:ascii="Times New Roman" w:hAnsi="Times New Roman" w:eastAsia="黑体"/>
          <w:color w:val="auto"/>
          <w:sz w:val="30"/>
          <w:szCs w:val="30"/>
          <w:highlight w:val="none"/>
        </w:rPr>
        <w:t>部门决算情况说明</w:t>
      </w:r>
    </w:p>
    <w:p w14:paraId="5F17E4A0">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一、收入决算情况说明</w:t>
      </w:r>
    </w:p>
    <w:p w14:paraId="199F09C6">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二、支出决算情况说明</w:t>
      </w:r>
    </w:p>
    <w:p w14:paraId="291ADF26">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三、一般公共预算财政拨款支出决算情况说明</w:t>
      </w:r>
    </w:p>
    <w:p w14:paraId="4AAD6529">
      <w:pPr>
        <w:widowControl/>
        <w:snapToGrid w:val="0"/>
        <w:spacing w:before="100" w:after="100" w:line="360" w:lineRule="auto"/>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四、财政拨款“三公”经费支出决算情况说明</w:t>
      </w:r>
    </w:p>
    <w:p w14:paraId="006BB38E">
      <w:pPr>
        <w:widowControl/>
        <w:snapToGrid w:val="0"/>
        <w:spacing w:before="100" w:after="100" w:line="360" w:lineRule="auto"/>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lang w:eastAsia="zh-CN"/>
        </w:rPr>
        <w:t>第四部分</w:t>
      </w:r>
      <w:r>
        <w:rPr>
          <w:rFonts w:hint="eastAsia" w:ascii="Times New Roman" w:hAnsi="Times New Roman" w:eastAsia="楷体"/>
          <w:color w:val="auto"/>
          <w:sz w:val="30"/>
          <w:szCs w:val="30"/>
          <w:highlight w:val="none"/>
          <w:lang w:val="en-US" w:eastAsia="zh-CN"/>
        </w:rPr>
        <w:t xml:space="preserve">  </w:t>
      </w:r>
      <w:r>
        <w:rPr>
          <w:rFonts w:hint="eastAsia" w:ascii="Times New Roman" w:hAnsi="Times New Roman" w:eastAsia="黑体"/>
          <w:color w:val="auto"/>
          <w:sz w:val="30"/>
          <w:szCs w:val="30"/>
          <w:highlight w:val="none"/>
        </w:rPr>
        <w:t>其他重要事项及相关口径情况说明</w:t>
      </w:r>
    </w:p>
    <w:p w14:paraId="28F2C5E5">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一、</w:t>
      </w:r>
      <w:r>
        <w:rPr>
          <w:rFonts w:hint="eastAsia" w:ascii="Times New Roman" w:hAnsi="Times New Roman" w:eastAsia="楷体"/>
          <w:color w:val="auto"/>
          <w:sz w:val="30"/>
          <w:szCs w:val="30"/>
          <w:highlight w:val="none"/>
        </w:rPr>
        <w:t>机关运行经费支出情况</w:t>
      </w:r>
    </w:p>
    <w:p w14:paraId="42AA2CDE">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国有资产占用情况</w:t>
      </w:r>
    </w:p>
    <w:p w14:paraId="5CD211B1">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政府采购支出情况</w:t>
      </w:r>
    </w:p>
    <w:p w14:paraId="2908FFA8">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四、</w:t>
      </w:r>
      <w:r>
        <w:rPr>
          <w:rFonts w:hint="eastAsia" w:ascii="Times New Roman" w:hAnsi="Times New Roman" w:eastAsia="楷体"/>
          <w:color w:val="auto"/>
          <w:sz w:val="30"/>
          <w:szCs w:val="30"/>
          <w:highlight w:val="none"/>
          <w:lang w:val="en-US" w:eastAsia="zh-CN"/>
        </w:rPr>
        <w:t>单位绩效自评情况</w:t>
      </w:r>
    </w:p>
    <w:p w14:paraId="30600BD8">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五、</w:t>
      </w:r>
      <w:r>
        <w:rPr>
          <w:rFonts w:hint="eastAsia" w:ascii="Times New Roman" w:hAnsi="Times New Roman" w:eastAsia="楷体"/>
          <w:color w:val="auto"/>
          <w:sz w:val="30"/>
          <w:szCs w:val="30"/>
          <w:highlight w:val="none"/>
          <w:lang w:val="en-US" w:eastAsia="zh-CN"/>
        </w:rPr>
        <w:t>其他重要事项情况说明</w:t>
      </w:r>
    </w:p>
    <w:p w14:paraId="58249706">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六、相关口径说明</w:t>
      </w:r>
    </w:p>
    <w:p w14:paraId="23E49BF1">
      <w:pPr>
        <w:widowControl/>
        <w:snapToGrid w:val="0"/>
        <w:spacing w:before="100" w:after="100" w:line="360" w:lineRule="auto"/>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第</w:t>
      </w:r>
      <w:r>
        <w:rPr>
          <w:rFonts w:hint="eastAsia" w:ascii="Times New Roman" w:hAnsi="Times New Roman" w:eastAsia="黑体"/>
          <w:color w:val="auto"/>
          <w:sz w:val="30"/>
          <w:szCs w:val="30"/>
          <w:highlight w:val="none"/>
          <w:lang w:eastAsia="zh-CN"/>
        </w:rPr>
        <w:t>五</w:t>
      </w:r>
      <w:r>
        <w:rPr>
          <w:rFonts w:hint="eastAsia" w:ascii="Times New Roman" w:hAnsi="Times New Roman" w:eastAsia="黑体"/>
          <w:color w:val="auto"/>
          <w:sz w:val="30"/>
          <w:szCs w:val="30"/>
          <w:highlight w:val="none"/>
        </w:rPr>
        <w:t>部分  名词解释</w:t>
      </w:r>
    </w:p>
    <w:p w14:paraId="7D2AEE86">
      <w:pPr>
        <w:jc w:val="center"/>
        <w:rPr>
          <w:rFonts w:hint="eastAsia" w:ascii="Times New Roman" w:hAnsi="Times New Roman" w:eastAsia="黑体"/>
          <w:color w:val="auto"/>
          <w:sz w:val="32"/>
          <w:szCs w:val="32"/>
          <w:highlight w:val="none"/>
        </w:rPr>
      </w:pPr>
    </w:p>
    <w:p w14:paraId="77DECD0C">
      <w:pPr>
        <w:jc w:val="center"/>
        <w:rPr>
          <w:rFonts w:hint="eastAsia" w:ascii="Times New Roman" w:hAnsi="Times New Roman" w:eastAsia="黑体"/>
          <w:color w:val="auto"/>
          <w:sz w:val="32"/>
          <w:szCs w:val="32"/>
          <w:highlight w:val="none"/>
        </w:rPr>
      </w:pPr>
    </w:p>
    <w:p w14:paraId="50473B52">
      <w:pPr>
        <w:jc w:val="center"/>
        <w:rPr>
          <w:rFonts w:hint="eastAsia" w:ascii="Times New Roman" w:hAnsi="Times New Roman" w:eastAsia="黑体"/>
          <w:color w:val="auto"/>
          <w:sz w:val="32"/>
          <w:szCs w:val="32"/>
          <w:highlight w:val="none"/>
        </w:rPr>
      </w:pPr>
    </w:p>
    <w:p w14:paraId="417816BD">
      <w:pPr>
        <w:jc w:val="center"/>
        <w:rPr>
          <w:rFonts w:hint="eastAsia" w:ascii="Times New Roman" w:hAnsi="Times New Roman" w:eastAsia="黑体"/>
          <w:color w:val="auto"/>
          <w:sz w:val="32"/>
          <w:szCs w:val="32"/>
          <w:highlight w:val="none"/>
        </w:rPr>
      </w:pPr>
    </w:p>
    <w:p w14:paraId="3C1D76B5">
      <w:pPr>
        <w:jc w:val="center"/>
        <w:rPr>
          <w:rFonts w:hint="eastAsia" w:ascii="Times New Roman" w:hAnsi="Times New Roman" w:eastAsia="黑体"/>
          <w:color w:val="auto"/>
          <w:sz w:val="32"/>
          <w:szCs w:val="32"/>
          <w:highlight w:val="none"/>
        </w:rPr>
      </w:pPr>
    </w:p>
    <w:p w14:paraId="44E8274D">
      <w:pPr>
        <w:jc w:val="center"/>
        <w:rPr>
          <w:rFonts w:hint="eastAsia" w:ascii="Times New Roman" w:hAnsi="Times New Roman" w:eastAsia="黑体"/>
          <w:color w:val="auto"/>
          <w:sz w:val="32"/>
          <w:szCs w:val="32"/>
          <w:highlight w:val="none"/>
        </w:rPr>
      </w:pPr>
    </w:p>
    <w:p w14:paraId="30407E23">
      <w:pPr>
        <w:jc w:val="center"/>
        <w:rPr>
          <w:rFonts w:hint="eastAsia" w:ascii="Times New Roman" w:hAnsi="Times New Roman" w:eastAsia="黑体"/>
          <w:color w:val="auto"/>
          <w:sz w:val="32"/>
          <w:szCs w:val="32"/>
          <w:highlight w:val="none"/>
        </w:rPr>
      </w:pPr>
    </w:p>
    <w:p w14:paraId="71E21F1F">
      <w:pPr>
        <w:jc w:val="both"/>
        <w:rPr>
          <w:rFonts w:hint="eastAsia" w:ascii="Times New Roman" w:hAnsi="Times New Roman" w:eastAsia="黑体"/>
          <w:color w:val="auto"/>
          <w:sz w:val="32"/>
          <w:szCs w:val="32"/>
          <w:highlight w:val="none"/>
        </w:rPr>
      </w:pPr>
    </w:p>
    <w:p w14:paraId="07081D6E">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第一部分  </w:t>
      </w:r>
      <w:r>
        <w:rPr>
          <w:rFonts w:hint="eastAsia" w:ascii="Times New Roman" w:hAnsi="Times New Roman" w:eastAsia="黑体"/>
          <w:color w:val="auto"/>
          <w:sz w:val="32"/>
          <w:szCs w:val="32"/>
          <w:highlight w:val="none"/>
          <w:lang w:eastAsia="zh-CN"/>
        </w:rPr>
        <w:t>单位</w:t>
      </w:r>
      <w:r>
        <w:rPr>
          <w:rFonts w:hint="eastAsia" w:ascii="Times New Roman" w:hAnsi="Times New Roman" w:eastAsia="黑体"/>
          <w:color w:val="auto"/>
          <w:sz w:val="32"/>
          <w:szCs w:val="32"/>
          <w:highlight w:val="none"/>
        </w:rPr>
        <w:t>概况</w:t>
      </w:r>
    </w:p>
    <w:p w14:paraId="2F5AB307">
      <w:pPr>
        <w:spacing w:line="600" w:lineRule="exact"/>
        <w:ind w:firstLine="600" w:firstLineChars="200"/>
        <w:outlineLvl w:val="1"/>
        <w:rPr>
          <w:rFonts w:hint="eastAsia" w:ascii="Times New Roman" w:hAnsi="Times New Roman" w:eastAsia="黑体"/>
          <w:color w:val="auto"/>
          <w:sz w:val="30"/>
          <w:szCs w:val="30"/>
          <w:highlight w:val="none"/>
          <w:lang w:eastAsia="zh-CN"/>
        </w:rPr>
      </w:pPr>
      <w:r>
        <w:rPr>
          <w:rFonts w:hint="eastAsia" w:ascii="Times New Roman" w:hAnsi="Times New Roman" w:eastAsia="黑体"/>
          <w:color w:val="auto"/>
          <w:sz w:val="30"/>
          <w:szCs w:val="30"/>
          <w:highlight w:val="none"/>
        </w:rPr>
        <w:t>一、主要</w:t>
      </w:r>
      <w:r>
        <w:rPr>
          <w:rFonts w:hint="eastAsia" w:ascii="Times New Roman" w:hAnsi="Times New Roman" w:eastAsia="黑体"/>
          <w:color w:val="auto"/>
          <w:sz w:val="30"/>
          <w:szCs w:val="30"/>
          <w:highlight w:val="none"/>
          <w:lang w:eastAsia="zh-CN"/>
        </w:rPr>
        <w:t>职责</w:t>
      </w:r>
    </w:p>
    <w:p w14:paraId="036DD794">
      <w:pPr>
        <w:keepNext w:val="0"/>
        <w:keepLines w:val="0"/>
        <w:pageBreakBefore w:val="0"/>
        <w:widowControl/>
        <w:kinsoku/>
        <w:wordWrap/>
        <w:overflowPunct/>
        <w:topLinePunct w:val="0"/>
        <w:autoSpaceDE/>
        <w:autoSpaceDN/>
        <w:bidi w:val="0"/>
        <w:adjustRightInd/>
        <w:snapToGrid/>
        <w:spacing w:beforeLines="0" w:afterLines="0" w:line="590" w:lineRule="exact"/>
        <w:ind w:firstLine="600"/>
        <w:jc w:val="both"/>
        <w:textAlignment w:val="auto"/>
        <w:rPr>
          <w:rFonts w:hint="eastAsia" w:ascii="Times New Roman" w:hAnsi="Times New Roman"/>
          <w:bCs/>
          <w:color w:val="auto"/>
          <w:szCs w:val="30"/>
          <w:highlight w:val="none"/>
        </w:rPr>
      </w:pPr>
      <w:r>
        <w:rPr>
          <w:rFonts w:hint="eastAsia" w:ascii="Times New Roman" w:hAnsi="Times New Roman" w:eastAsia="仿宋_GB2312" w:cs="Times New Roman"/>
          <w:bCs/>
          <w:color w:val="auto"/>
          <w:kern w:val="2"/>
          <w:sz w:val="30"/>
          <w:szCs w:val="30"/>
          <w:highlight w:val="none"/>
          <w:lang w:val="en-US" w:eastAsia="zh-CN" w:bidi="ar-SA"/>
        </w:rPr>
        <w:t>负责农村承包地和集体“三资”信息化以及农村集体经济组织赋码登记、土地流转备案等相关服务工作；负责减轻农民负担和村民“一事一议”筹资筹劳管理服务；指导、监测新型农村集体经济发展；承担农民合作社、家庭农场培育业务指导、运行监测；承担农村宅基地、农房调查监测；负责农经统计工作；为全县农村经济审计提供业务指导，开展农村财会人员培训；完成县农业农村局交办的其他工作任务。</w:t>
      </w:r>
    </w:p>
    <w:p w14:paraId="4DC33ED9">
      <w:pPr>
        <w:spacing w:line="600" w:lineRule="exact"/>
        <w:ind w:firstLine="600" w:firstLineChars="200"/>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二、基本情况</w:t>
      </w:r>
    </w:p>
    <w:p w14:paraId="6A01CFBC">
      <w:pPr>
        <w:spacing w:line="600" w:lineRule="exact"/>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（一）机构设置情况</w:t>
      </w:r>
    </w:p>
    <w:p w14:paraId="25E65EF5">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我单位共设置0个内设机构。</w:t>
      </w:r>
    </w:p>
    <w:p w14:paraId="6ACF3ACE">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我单位为基层预算单位，无下属单位。</w:t>
      </w:r>
    </w:p>
    <w:p w14:paraId="3CEB32BB">
      <w:pPr>
        <w:spacing w:line="600" w:lineRule="exact"/>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决算单位构成</w:t>
      </w:r>
    </w:p>
    <w:p w14:paraId="0D9DF80E">
      <w:pPr>
        <w:spacing w:line="600" w:lineRule="exact"/>
        <w:ind w:firstLine="600" w:firstLineChars="200"/>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eastAsia="zh-CN"/>
        </w:rPr>
        <w:t>我单位作为华宁县农业农村局</w:t>
      </w:r>
      <w:r>
        <w:rPr>
          <w:rFonts w:hint="eastAsia" w:ascii="Times New Roman" w:hAnsi="Times New Roman" w:eastAsia="仿宋_GB2312"/>
          <w:color w:val="auto"/>
          <w:sz w:val="30"/>
          <w:szCs w:val="30"/>
          <w:highlight w:val="none"/>
          <w:lang w:val="en-US" w:eastAsia="zh-CN"/>
        </w:rPr>
        <w:t>的</w:t>
      </w:r>
      <w:r>
        <w:rPr>
          <w:rFonts w:hint="eastAsia" w:ascii="Times New Roman" w:hAnsi="Times New Roman" w:eastAsia="仿宋_GB2312"/>
          <w:color w:val="auto"/>
          <w:sz w:val="30"/>
          <w:szCs w:val="30"/>
          <w:highlight w:val="none"/>
          <w:lang w:eastAsia="zh-CN"/>
        </w:rPr>
        <w:t>二级预算单位</w:t>
      </w:r>
      <w:r>
        <w:rPr>
          <w:rFonts w:hint="eastAsia" w:ascii="Times New Roman" w:hAnsi="Times New Roman" w:eastAsia="仿宋_GB2312"/>
          <w:color w:val="auto"/>
          <w:sz w:val="30"/>
          <w:szCs w:val="30"/>
          <w:highlight w:val="none"/>
        </w:rPr>
        <w:t>纳入</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部门决算编报</w:t>
      </w:r>
      <w:r>
        <w:rPr>
          <w:rFonts w:hint="eastAsia" w:ascii="Times New Roman" w:hAnsi="Times New Roman" w:eastAsia="仿宋_GB2312"/>
          <w:color w:val="auto"/>
          <w:sz w:val="30"/>
          <w:szCs w:val="30"/>
          <w:highlight w:val="none"/>
          <w:lang w:eastAsia="zh-CN"/>
        </w:rPr>
        <w:t>范围</w:t>
      </w:r>
      <w:r>
        <w:rPr>
          <w:rFonts w:hint="eastAsia" w:ascii="Times New Roman" w:hAnsi="Times New Roman" w:eastAsia="仿宋_GB2312"/>
          <w:color w:val="auto"/>
          <w:sz w:val="30"/>
          <w:szCs w:val="30"/>
          <w:highlight w:val="none"/>
        </w:rPr>
        <w:t>。</w:t>
      </w:r>
    </w:p>
    <w:p w14:paraId="49D25FB3">
      <w:pPr>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单位</w:t>
      </w:r>
      <w:r>
        <w:rPr>
          <w:rFonts w:hint="eastAsia" w:ascii="Times New Roman" w:hAnsi="Times New Roman" w:eastAsia="楷体"/>
          <w:color w:val="auto"/>
          <w:sz w:val="30"/>
          <w:szCs w:val="30"/>
          <w:highlight w:val="none"/>
        </w:rPr>
        <w:t xml:space="preserve">人员和车辆的编制及实有情况 </w:t>
      </w:r>
    </w:p>
    <w:p w14:paraId="7546D326">
      <w:pPr>
        <w:spacing w:line="600" w:lineRule="exact"/>
        <w:ind w:firstLine="600" w:firstLineChars="200"/>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lang w:eastAsia="zh-CN"/>
        </w:rPr>
        <w:t>我单位</w:t>
      </w:r>
      <w:r>
        <w:rPr>
          <w:rFonts w:hint="eastAsia" w:ascii="Times New Roman" w:hAnsi="Times New Roman" w:eastAsia="仿宋_GB2312"/>
          <w:color w:val="auto"/>
          <w:sz w:val="30"/>
          <w:szCs w:val="30"/>
          <w:highlight w:val="none"/>
          <w:lang w:val="en-US" w:eastAsia="zh-CN"/>
        </w:rPr>
        <w:t>2025</w:t>
      </w:r>
      <w:r>
        <w:rPr>
          <w:rFonts w:hint="eastAsia" w:ascii="Times New Roman" w:hAnsi="Times New Roman" w:eastAsia="仿宋_GB2312"/>
          <w:color w:val="auto"/>
          <w:sz w:val="30"/>
          <w:szCs w:val="30"/>
          <w:highlight w:val="none"/>
        </w:rPr>
        <w:t>年末</w:t>
      </w:r>
      <w:r>
        <w:rPr>
          <w:rFonts w:hint="eastAsia" w:ascii="Times New Roman" w:hAnsi="Times New Roman" w:eastAsia="仿宋_GB2312"/>
          <w:color w:val="auto"/>
          <w:sz w:val="30"/>
          <w:szCs w:val="30"/>
          <w:highlight w:val="none"/>
          <w:lang w:eastAsia="zh-CN"/>
        </w:rPr>
        <w:t>编制内</w:t>
      </w:r>
      <w:r>
        <w:rPr>
          <w:rFonts w:hint="eastAsia" w:ascii="Times New Roman" w:hAnsi="Times New Roman" w:eastAsia="仿宋_GB2312"/>
          <w:color w:val="auto"/>
          <w:sz w:val="30"/>
          <w:szCs w:val="30"/>
          <w:highlight w:val="none"/>
        </w:rPr>
        <w:t>实有人员</w:t>
      </w:r>
      <w:r>
        <w:rPr>
          <w:rFonts w:hint="eastAsia" w:ascii="Times New Roman" w:hAnsi="Times New Roman" w:eastAsia="仿宋_GB2312" w:cs="仿宋_GB2312"/>
          <w:color w:val="auto"/>
          <w:sz w:val="30"/>
          <w:szCs w:val="30"/>
          <w:lang w:val="en-US" w:eastAsia="zh-CN"/>
        </w:rPr>
        <w:t>16</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b w:val="0"/>
          <w:bCs w:val="0"/>
          <w:color w:val="auto"/>
          <w:kern w:val="0"/>
          <w:sz w:val="30"/>
          <w:szCs w:val="30"/>
          <w:highlight w:val="none"/>
          <w:lang w:eastAsia="zh-CN"/>
        </w:rPr>
        <w:t>包括</w:t>
      </w:r>
      <w:r>
        <w:rPr>
          <w:rFonts w:hint="eastAsia" w:ascii="Times New Roman" w:hAnsi="Times New Roman" w:eastAsia="仿宋_GB2312" w:cs="Arial"/>
          <w:color w:val="auto"/>
          <w:kern w:val="0"/>
          <w:sz w:val="30"/>
          <w:szCs w:val="30"/>
          <w:highlight w:val="none"/>
          <w:lang w:eastAsia="zh-CN"/>
        </w:rPr>
        <w:t>财政拨款开支经费的</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公务员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参照公务员法管理人员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事业管理人员和专业技术人员</w:t>
      </w:r>
      <w:r>
        <w:rPr>
          <w:rFonts w:hint="eastAsia" w:ascii="Times New Roman" w:hAnsi="Times New Roman" w:eastAsia="仿宋_GB2312" w:cs="仿宋_GB2312"/>
          <w:color w:val="auto"/>
          <w:sz w:val="30"/>
          <w:szCs w:val="30"/>
          <w:lang w:val="en-US" w:eastAsia="zh-CN"/>
        </w:rPr>
        <w:t>16</w:t>
      </w:r>
      <w:r>
        <w:rPr>
          <w:rFonts w:hint="eastAsia" w:ascii="Times New Roman" w:hAnsi="Times New Roman" w:eastAsia="仿宋_GB2312" w:cs="Arial"/>
          <w:color w:val="auto"/>
          <w:kern w:val="0"/>
          <w:sz w:val="30"/>
          <w:szCs w:val="30"/>
          <w:highlight w:val="none"/>
        </w:rPr>
        <w:t>人，机关和事业工人</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p>
    <w:p w14:paraId="738D6614">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olor w:val="auto"/>
          <w:sz w:val="30"/>
          <w:szCs w:val="30"/>
          <w:highlight w:val="none"/>
          <w:lang w:eastAsia="zh-CN"/>
        </w:rPr>
        <w:t>我单位</w:t>
      </w:r>
      <w:r>
        <w:rPr>
          <w:rFonts w:hint="eastAsia" w:ascii="Times New Roman" w:hAnsi="Times New Roman" w:eastAsia="仿宋_GB2312"/>
          <w:color w:val="auto"/>
          <w:sz w:val="30"/>
          <w:szCs w:val="30"/>
          <w:highlight w:val="none"/>
          <w:lang w:val="en-US" w:eastAsia="zh-CN"/>
        </w:rPr>
        <w:t>2025</w:t>
      </w:r>
      <w:r>
        <w:rPr>
          <w:rFonts w:hint="eastAsia" w:ascii="Times New Roman" w:hAnsi="Times New Roman" w:eastAsia="仿宋_GB2312"/>
          <w:color w:val="auto"/>
          <w:sz w:val="30"/>
          <w:szCs w:val="30"/>
          <w:highlight w:val="none"/>
        </w:rPr>
        <w:t>年末</w:t>
      </w:r>
      <w:r>
        <w:rPr>
          <w:rFonts w:hint="eastAsia" w:ascii="Times New Roman" w:hAnsi="Times New Roman" w:eastAsia="仿宋_GB2312"/>
          <w:color w:val="auto"/>
          <w:sz w:val="30"/>
          <w:szCs w:val="30"/>
          <w:highlight w:val="none"/>
          <w:lang w:eastAsia="zh-CN"/>
        </w:rPr>
        <w:t>其他人员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val="en-US" w:eastAsia="zh-CN"/>
        </w:rPr>
        <w:t>人。包括财政拨款开支经费的人员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eastAsia="zh-CN"/>
        </w:rPr>
        <w:t>人；经费自理人员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eastAsia="zh-CN"/>
        </w:rPr>
        <w:t>人。</w:t>
      </w:r>
    </w:p>
    <w:p w14:paraId="08BC2BB4">
      <w:pPr>
        <w:spacing w:line="600" w:lineRule="exact"/>
        <w:ind w:firstLine="600" w:firstLineChars="200"/>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i w:val="0"/>
          <w:iCs w:val="0"/>
          <w:color w:val="auto"/>
          <w:kern w:val="0"/>
          <w:sz w:val="30"/>
          <w:szCs w:val="30"/>
          <w:highlight w:val="none"/>
          <w:lang w:eastAsia="zh-CN"/>
        </w:rPr>
        <w:t>年末单位发放离退休费的</w:t>
      </w:r>
      <w:r>
        <w:rPr>
          <w:rFonts w:hint="eastAsia" w:ascii="Times New Roman" w:hAnsi="Times New Roman" w:eastAsia="仿宋_GB2312" w:cs="Arial"/>
          <w:i w:val="0"/>
          <w:iCs w:val="0"/>
          <w:strike w:val="0"/>
          <w:dstrike w:val="0"/>
          <w:color w:val="auto"/>
          <w:kern w:val="0"/>
          <w:sz w:val="30"/>
          <w:szCs w:val="30"/>
          <w:highlight w:val="none"/>
        </w:rPr>
        <w:t>离</w:t>
      </w:r>
      <w:r>
        <w:rPr>
          <w:rFonts w:hint="eastAsia" w:ascii="Times New Roman" w:hAnsi="Times New Roman" w:eastAsia="仿宋_GB2312" w:cs="Arial"/>
          <w:i w:val="0"/>
          <w:iCs w:val="0"/>
          <w:color w:val="auto"/>
          <w:kern w:val="0"/>
          <w:sz w:val="30"/>
          <w:szCs w:val="30"/>
          <w:highlight w:val="none"/>
        </w:rPr>
        <w:t>退休人员</w:t>
      </w:r>
      <w:r>
        <w:rPr>
          <w:rFonts w:hint="eastAsia" w:ascii="Times New Roman" w:hAnsi="Times New Roman" w:eastAsia="仿宋_GB2312" w:cs="Arial"/>
          <w:i w:val="0"/>
          <w:iCs w:val="0"/>
          <w:color w:val="auto"/>
          <w:kern w:val="0"/>
          <w:sz w:val="30"/>
          <w:szCs w:val="30"/>
          <w:highlight w:val="none"/>
          <w:lang w:eastAsia="zh-CN"/>
        </w:rPr>
        <w:t>共计</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人，退休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）。年末</w:t>
      </w:r>
      <w:r>
        <w:rPr>
          <w:rFonts w:hint="eastAsia" w:ascii="Times New Roman" w:hAnsi="Times New Roman" w:eastAsia="仿宋_GB2312" w:cs="Arial"/>
          <w:color w:val="auto"/>
          <w:kern w:val="0"/>
          <w:sz w:val="30"/>
          <w:szCs w:val="30"/>
          <w:highlight w:val="none"/>
        </w:rPr>
        <w:t>由养老保险基金发放养老金的离退休人员</w:t>
      </w:r>
      <w:r>
        <w:rPr>
          <w:rFonts w:hint="eastAsia" w:ascii="Times New Roman" w:hAnsi="Times New Roman" w:eastAsia="仿宋_GB2312" w:cs="仿宋_GB2312"/>
          <w:color w:val="auto"/>
          <w:sz w:val="30"/>
          <w:szCs w:val="30"/>
          <w:lang w:val="en-US" w:eastAsia="zh-CN"/>
        </w:rPr>
        <w:t>8</w:t>
      </w:r>
      <w:r>
        <w:rPr>
          <w:rFonts w:hint="eastAsia" w:ascii="Times New Roman" w:hAnsi="Times New Roman" w:eastAsia="仿宋_GB2312" w:cs="Arial"/>
          <w:color w:val="auto"/>
          <w:kern w:val="0"/>
          <w:sz w:val="30"/>
          <w:szCs w:val="30"/>
          <w:highlight w:val="none"/>
          <w:lang w:val="en-US" w:eastAsia="zh-CN"/>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人，退休</w:t>
      </w:r>
      <w:r>
        <w:rPr>
          <w:rFonts w:hint="eastAsia" w:ascii="Times New Roman" w:hAnsi="Times New Roman" w:eastAsia="仿宋_GB2312" w:cs="仿宋_GB2312"/>
          <w:color w:val="auto"/>
          <w:sz w:val="30"/>
          <w:szCs w:val="30"/>
          <w:lang w:val="en-US" w:eastAsia="zh-CN"/>
        </w:rPr>
        <w:t>8</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w:t>
      </w:r>
    </w:p>
    <w:p w14:paraId="21290EF7">
      <w:pPr>
        <w:spacing w:line="600" w:lineRule="exact"/>
        <w:ind w:firstLine="600" w:firstLineChars="200"/>
        <w:jc w:val="left"/>
        <w:rPr>
          <w:rFonts w:hint="default" w:ascii="Times New Roman" w:hAnsi="Times New Roman" w:eastAsia="仿宋_GB2312" w:cs="Arial"/>
          <w:color w:val="auto"/>
          <w:kern w:val="0"/>
          <w:sz w:val="30"/>
          <w:szCs w:val="30"/>
          <w:highlight w:val="none"/>
          <w:lang w:val="en-US"/>
        </w:rPr>
      </w:pPr>
      <w:r>
        <w:rPr>
          <w:rFonts w:hint="eastAsia" w:ascii="Times New Roman" w:hAnsi="Times New Roman" w:eastAsia="仿宋_GB2312" w:cs="仿宋_GB2312"/>
          <w:b w:val="0"/>
          <w:bCs w:val="0"/>
          <w:color w:val="auto"/>
          <w:sz w:val="30"/>
          <w:szCs w:val="30"/>
          <w:highlight w:val="none"/>
          <w:u w:val="none"/>
          <w:lang w:val="en-US" w:eastAsia="zh-CN"/>
        </w:rPr>
        <w:t>车辆编制0辆，在编实有车辆0辆。</w:t>
      </w:r>
    </w:p>
    <w:p w14:paraId="371914D2">
      <w:pPr>
        <w:spacing w:line="600" w:lineRule="exact"/>
        <w:ind w:firstLine="600" w:firstLineChars="200"/>
        <w:outlineLvl w:val="1"/>
        <w:rPr>
          <w:rFonts w:hint="eastAsia" w:ascii="Times New Roman" w:hAnsi="Times New Roman" w:eastAsia="黑体"/>
          <w:color w:val="auto"/>
          <w:sz w:val="30"/>
          <w:szCs w:val="30"/>
          <w:highlight w:val="none"/>
          <w:lang w:eastAsia="zh-CN"/>
        </w:rPr>
      </w:pPr>
      <w:r>
        <w:rPr>
          <w:rFonts w:hint="eastAsia" w:ascii="Times New Roman" w:hAnsi="Times New Roman" w:eastAsia="黑体"/>
          <w:color w:val="auto"/>
          <w:sz w:val="30"/>
          <w:szCs w:val="30"/>
          <w:highlight w:val="none"/>
          <w:lang w:eastAsia="zh-CN"/>
        </w:rPr>
        <w:t>三、重点工作概述</w:t>
      </w:r>
    </w:p>
    <w:p w14:paraId="19F508AB">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1.加强农村集体“三资”管理工作。</w:t>
      </w:r>
    </w:p>
    <w:p w14:paraId="06FC15EA">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2.积极督促指导乡镇开展农村宅基地联审联管工作。</w:t>
      </w:r>
    </w:p>
    <w:p w14:paraId="7C629917">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3.积极引导和规范农村土地承包经营权流转，切实保障村民权益。</w:t>
      </w:r>
    </w:p>
    <w:p w14:paraId="46359778">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4.有效化解农村土地纠纷矛盾。</w:t>
      </w:r>
    </w:p>
    <w:p w14:paraId="6772DA85">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5.加强高质量发展农民专业合作社和家庭农场的管理。</w:t>
      </w:r>
    </w:p>
    <w:p w14:paraId="34158AF1">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6.按时、按质完成2025年各种报表工作。</w:t>
      </w:r>
    </w:p>
    <w:p w14:paraId="4E692A13">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第二部分  </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部门决算表</w:t>
      </w:r>
    </w:p>
    <w:p w14:paraId="7EAED1C1">
      <w:pPr>
        <w:spacing w:line="600" w:lineRule="exact"/>
        <w:ind w:firstLine="600" w:firstLineChars="200"/>
        <w:jc w:val="center"/>
        <w:outlineLvl w:val="1"/>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（详见附件）</w:t>
      </w:r>
    </w:p>
    <w:p w14:paraId="10F8EE3D">
      <w:pPr>
        <w:spacing w:line="600" w:lineRule="exact"/>
        <w:ind w:firstLine="600" w:firstLineChars="200"/>
        <w:rPr>
          <w:rFonts w:hint="default" w:ascii="Times New Roman" w:hAnsi="Times New Roman" w:eastAsia="仿宋_GB2312" w:cs="Arial"/>
          <w:color w:val="auto"/>
          <w:kern w:val="0"/>
          <w:sz w:val="30"/>
          <w:szCs w:val="30"/>
          <w:highlight w:val="none"/>
          <w:lang w:val="en-US" w:eastAsia="zh-CN"/>
        </w:rPr>
      </w:pPr>
      <w:r>
        <w:rPr>
          <w:rFonts w:hint="default" w:ascii="Times New Roman" w:hAnsi="Times New Roman" w:eastAsia="仿宋_GB2312" w:cs="Arial"/>
          <w:color w:val="auto"/>
          <w:kern w:val="0"/>
          <w:sz w:val="30"/>
          <w:szCs w:val="30"/>
          <w:highlight w:val="none"/>
          <w:lang w:val="en-US" w:eastAsia="zh-CN"/>
        </w:rPr>
        <w:t>华宁县农村经济经营管理站</w:t>
      </w:r>
      <w:r>
        <w:rPr>
          <w:rFonts w:hint="eastAsia" w:ascii="Times New Roman" w:hAnsi="Times New Roman" w:eastAsia="仿宋_GB2312" w:cs="Times New Roman"/>
          <w:color w:val="auto"/>
          <w:sz w:val="30"/>
          <w:szCs w:val="30"/>
          <w:highlight w:val="none"/>
          <w:lang w:val="en-US" w:eastAsia="zh-CN"/>
        </w:rPr>
        <w:t>2025</w:t>
      </w:r>
      <w:r>
        <w:rPr>
          <w:rFonts w:hint="eastAsia" w:ascii="Times New Roman" w:hAnsi="Times New Roman" w:eastAsia="仿宋_GB2312" w:cs="Arial"/>
          <w:color w:val="auto"/>
          <w:kern w:val="0"/>
          <w:sz w:val="30"/>
          <w:szCs w:val="30"/>
          <w:highlight w:val="none"/>
          <w:lang w:val="en-US" w:eastAsia="zh-CN"/>
        </w:rPr>
        <w:t>年度</w:t>
      </w:r>
      <w:r>
        <w:rPr>
          <w:rFonts w:hint="default" w:ascii="Times New Roman" w:hAnsi="Times New Roman" w:eastAsia="仿宋_GB2312" w:cs="Arial"/>
          <w:color w:val="auto"/>
          <w:kern w:val="0"/>
          <w:sz w:val="30"/>
          <w:szCs w:val="30"/>
          <w:highlight w:val="none"/>
          <w:lang w:val="en-US" w:eastAsia="zh-CN"/>
        </w:rPr>
        <w:t>无政府性基金预算财政拨款，《政府性基金预算财政拨款收入支出决算表》</w:t>
      </w:r>
      <w:r>
        <w:rPr>
          <w:rFonts w:hint="eastAsia" w:ascii="Times New Roman" w:hAnsi="Times New Roman" w:eastAsia="仿宋_GB2312" w:cs="Arial"/>
          <w:color w:val="auto"/>
          <w:kern w:val="0"/>
          <w:sz w:val="30"/>
          <w:szCs w:val="30"/>
          <w:highlight w:val="none"/>
          <w:lang w:val="en-US" w:eastAsia="zh-CN"/>
        </w:rPr>
        <w:t>为空表</w:t>
      </w:r>
      <w:r>
        <w:rPr>
          <w:rFonts w:hint="default" w:ascii="Times New Roman" w:hAnsi="Times New Roman" w:eastAsia="仿宋_GB2312" w:cs="Arial"/>
          <w:color w:val="auto"/>
          <w:kern w:val="0"/>
          <w:sz w:val="30"/>
          <w:szCs w:val="30"/>
          <w:highlight w:val="none"/>
          <w:lang w:val="en-US" w:eastAsia="zh-CN"/>
        </w:rPr>
        <w:t>。</w:t>
      </w:r>
    </w:p>
    <w:p w14:paraId="7B049D24">
      <w:pPr>
        <w:spacing w:line="600" w:lineRule="exact"/>
        <w:ind w:firstLine="600" w:firstLineChars="200"/>
        <w:jc w:val="left"/>
        <w:rPr>
          <w:rFonts w:hint="eastAsia" w:ascii="Times New Roman" w:hAnsi="Times New Roman" w:eastAsia="仿宋_GB2312"/>
          <w:color w:val="auto"/>
          <w:sz w:val="30"/>
          <w:szCs w:val="30"/>
          <w:highlight w:val="none"/>
          <w:lang w:eastAsia="zh-CN"/>
        </w:rPr>
      </w:pPr>
      <w:r>
        <w:rPr>
          <w:rFonts w:hint="default" w:ascii="Times New Roman" w:hAnsi="Times New Roman" w:eastAsia="仿宋_GB2312" w:cs="Arial"/>
          <w:color w:val="auto"/>
          <w:kern w:val="0"/>
          <w:sz w:val="30"/>
          <w:szCs w:val="30"/>
          <w:highlight w:val="none"/>
          <w:lang w:val="en-US" w:eastAsia="zh-CN"/>
        </w:rPr>
        <w:t>华宁县农村经济经营管理站</w:t>
      </w:r>
      <w:r>
        <w:rPr>
          <w:rFonts w:hint="default" w:ascii="Times New Roman" w:hAnsi="Times New Roman" w:eastAsia="仿宋_GB2312" w:cs="Times New Roman"/>
          <w:color w:val="auto"/>
          <w:sz w:val="30"/>
          <w:szCs w:val="30"/>
          <w:highlight w:val="none"/>
          <w:lang w:val="en-US" w:eastAsia="zh-CN"/>
        </w:rPr>
        <w:t>202</w:t>
      </w:r>
      <w:r>
        <w:rPr>
          <w:rFonts w:hint="eastAsia" w:ascii="Times New Roman" w:hAnsi="Times New Roman" w:eastAsia="仿宋_GB2312" w:cs="Times New Roman"/>
          <w:color w:val="auto"/>
          <w:sz w:val="30"/>
          <w:szCs w:val="30"/>
          <w:highlight w:val="none"/>
          <w:lang w:val="en-US" w:eastAsia="zh-CN"/>
        </w:rPr>
        <w:t>5</w:t>
      </w:r>
      <w:r>
        <w:rPr>
          <w:rFonts w:hint="default" w:ascii="Times New Roman" w:hAnsi="Times New Roman" w:eastAsia="仿宋_GB2312" w:cs="Arial"/>
          <w:color w:val="auto"/>
          <w:kern w:val="0"/>
          <w:sz w:val="30"/>
          <w:szCs w:val="30"/>
          <w:highlight w:val="none"/>
          <w:lang w:val="en-US" w:eastAsia="zh-CN"/>
        </w:rPr>
        <w:t>年无国有资本经营预算财政拨款收入支出，《国有资本经营预算财政拨款收入支出决算表》</w:t>
      </w:r>
      <w:r>
        <w:rPr>
          <w:rFonts w:hint="eastAsia" w:ascii="Times New Roman" w:hAnsi="Times New Roman" w:eastAsia="仿宋_GB2312" w:cs="Arial"/>
          <w:color w:val="auto"/>
          <w:kern w:val="0"/>
          <w:sz w:val="30"/>
          <w:szCs w:val="30"/>
          <w:highlight w:val="none"/>
          <w:lang w:val="en-US" w:eastAsia="zh-CN"/>
        </w:rPr>
        <w:t>为空表</w:t>
      </w:r>
      <w:r>
        <w:rPr>
          <w:rFonts w:hint="default" w:ascii="Times New Roman" w:hAnsi="Times New Roman" w:eastAsia="仿宋_GB2312" w:cs="Arial"/>
          <w:color w:val="auto"/>
          <w:kern w:val="0"/>
          <w:sz w:val="30"/>
          <w:szCs w:val="30"/>
          <w:highlight w:val="none"/>
          <w:lang w:val="en-US" w:eastAsia="zh-CN"/>
        </w:rPr>
        <w:t>。</w:t>
      </w:r>
    </w:p>
    <w:p w14:paraId="6A03B837">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第三部</w:t>
      </w:r>
      <w:r>
        <w:rPr>
          <w:rFonts w:hint="eastAsia" w:ascii="Times New Roman" w:hAnsi="Times New Roman" w:eastAsia="黑体"/>
          <w:color w:val="auto"/>
          <w:sz w:val="32"/>
          <w:szCs w:val="32"/>
          <w:highlight w:val="none"/>
          <w:lang w:eastAsia="zh-CN"/>
        </w:rPr>
        <w:t>分</w:t>
      </w:r>
      <w:r>
        <w:rPr>
          <w:rFonts w:hint="eastAsia" w:ascii="Times New Roman" w:hAnsi="Times New Roman" w:eastAsia="黑体"/>
          <w:color w:val="auto"/>
          <w:sz w:val="32"/>
          <w:szCs w:val="32"/>
          <w:highlight w:val="none"/>
        </w:rPr>
        <w:t xml:space="preserve">  </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部门决算情况说明</w:t>
      </w:r>
    </w:p>
    <w:p w14:paraId="4AEDCA39">
      <w:pPr>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一、收入决算情况说明</w:t>
      </w:r>
    </w:p>
    <w:p w14:paraId="5B9193F7">
      <w:pPr>
        <w:widowControl/>
        <w:snapToGrid w:val="0"/>
        <w:spacing w:before="100" w:after="100" w:line="600" w:lineRule="exact"/>
        <w:ind w:firstLine="538"/>
        <w:jc w:val="left"/>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收入合计</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515.64</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。其中：财政拨款收入</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515.64</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，占总收入的</w:t>
      </w:r>
      <w:r>
        <w:rPr>
          <w:rFonts w:hint="eastAsia" w:ascii="Times New Roman" w:hAnsi="Times New Roman" w:eastAsia="仿宋_GB2312" w:cs="仿宋_GB2312"/>
          <w:color w:val="auto"/>
          <w:sz w:val="30"/>
          <w:lang w:val="zh-CN"/>
        </w:rPr>
        <w:t>100.00</w:t>
      </w:r>
      <w:r>
        <w:rPr>
          <w:rFonts w:hint="eastAsia" w:ascii="Times New Roman" w:hAnsi="Times New Roman" w:eastAsia="仿宋_GB2312"/>
          <w:color w:val="auto"/>
          <w:sz w:val="30"/>
          <w:szCs w:val="30"/>
          <w:highlight w:val="none"/>
        </w:rPr>
        <w:t>%；</w:t>
      </w:r>
      <w:r>
        <w:rPr>
          <w:rFonts w:hint="eastAsia" w:ascii="Times New Roman" w:hAnsi="Times New Roman" w:eastAsia="仿宋_GB2312" w:cs="Arial"/>
          <w:color w:val="auto"/>
          <w:kern w:val="0"/>
          <w:sz w:val="30"/>
          <w:szCs w:val="30"/>
          <w:highlight w:val="none"/>
          <w:lang w:val="en-US" w:eastAsia="zh-CN"/>
        </w:rPr>
        <w:t>无上级补助收入；无事业收入；无经营收入；无附属单位上缴收入；无</w:t>
      </w:r>
      <w:r>
        <w:rPr>
          <w:rFonts w:hint="eastAsia" w:ascii="Times New Roman" w:hAnsi="Times New Roman" w:eastAsia="仿宋_GB2312"/>
          <w:color w:val="auto"/>
          <w:sz w:val="30"/>
          <w:szCs w:val="30"/>
          <w:highlight w:val="none"/>
        </w:rPr>
        <w:t>其他收入。</w:t>
      </w:r>
    </w:p>
    <w:p w14:paraId="66F5654B">
      <w:pPr>
        <w:widowControl/>
        <w:snapToGrid w:val="0"/>
        <w:spacing w:before="100" w:after="100" w:line="600" w:lineRule="exact"/>
        <w:ind w:firstLine="538"/>
        <w:jc w:val="left"/>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olor w:val="auto"/>
          <w:sz w:val="30"/>
          <w:szCs w:val="30"/>
          <w:highlight w:val="none"/>
        </w:rPr>
        <w:t>与上年</w:t>
      </w:r>
      <w:r>
        <w:rPr>
          <w:rFonts w:hint="eastAsia" w:ascii="Times New Roman" w:hAnsi="Times New Roman" w:eastAsia="仿宋_GB2312"/>
          <w:color w:val="auto"/>
          <w:sz w:val="30"/>
          <w:szCs w:val="30"/>
          <w:highlight w:val="none"/>
          <w:lang w:eastAsia="zh-CN"/>
        </w:rPr>
        <w:t>相比，</w:t>
      </w:r>
      <w:r>
        <w:rPr>
          <w:rFonts w:hint="eastAsia" w:ascii="Times New Roman" w:hAnsi="Times New Roman" w:eastAsia="仿宋_GB2312"/>
          <w:color w:val="auto"/>
          <w:sz w:val="30"/>
          <w:szCs w:val="30"/>
          <w:highlight w:val="none"/>
        </w:rPr>
        <w:t>收入合计</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280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503.96</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13.31</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w:t>
      </w:r>
      <w:r>
        <w:rPr>
          <w:rFonts w:hint="eastAsia" w:ascii="Times New Roman" w:hAnsi="Times New Roman" w:eastAsia="仿宋_GB2312"/>
          <w:color w:val="auto"/>
          <w:sz w:val="30"/>
          <w:szCs w:val="30"/>
          <w:highlight w:val="none"/>
        </w:rPr>
        <w:t>财政拨款收入</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284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503.96</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13.53</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w:t>
      </w:r>
      <w:r>
        <w:rPr>
          <w:rFonts w:hint="eastAsia" w:ascii="Times New Roman" w:hAnsi="Times New Roman" w:eastAsia="仿宋_GB2312" w:cs="Times New Roman"/>
          <w:color w:val="auto"/>
          <w:sz w:val="30"/>
          <w:szCs w:val="30"/>
          <w:highlight w:val="none"/>
          <w:lang w:val="zh-CN" w:eastAsia="zh-CN"/>
        </w:rPr>
        <w:t>主要原因是</w:t>
      </w:r>
      <w:r>
        <w:rPr>
          <w:rFonts w:hint="eastAsia" w:ascii="Times New Roman" w:hAnsi="Times New Roman" w:eastAsia="仿宋_GB2312" w:cs="Times New Roman"/>
          <w:color w:val="auto"/>
          <w:sz w:val="30"/>
          <w:szCs w:val="30"/>
          <w:highlight w:val="none"/>
          <w:lang w:val="en-US" w:eastAsia="zh-CN"/>
        </w:rPr>
        <w:t>2024</w:t>
      </w:r>
      <w:r>
        <w:rPr>
          <w:rFonts w:hint="eastAsia" w:ascii="Times New Roman" w:hAnsi="Times New Roman" w:eastAsia="仿宋_GB2312" w:cs="Arial"/>
          <w:color w:val="auto"/>
          <w:kern w:val="0"/>
          <w:sz w:val="30"/>
          <w:szCs w:val="30"/>
          <w:highlight w:val="none"/>
          <w:lang w:val="en-US" w:eastAsia="zh-CN"/>
        </w:rPr>
        <w:t>年人员经费增加</w:t>
      </w:r>
      <w:r>
        <w:rPr>
          <w:rFonts w:hint="eastAsia" w:ascii="Times New Roman" w:hAnsi="Times New Roman" w:eastAsia="仿宋_GB2312" w:cs="Arial"/>
          <w:color w:val="auto"/>
          <w:kern w:val="0"/>
          <w:sz w:val="30"/>
          <w:szCs w:val="30"/>
          <w:highlight w:val="none"/>
          <w:lang w:val="zh-CN" w:eastAsia="zh-CN"/>
        </w:rPr>
        <w:t>；</w:t>
      </w:r>
      <w:r>
        <w:rPr>
          <w:rFonts w:hint="eastAsia" w:ascii="Times New Roman" w:hAnsi="Times New Roman" w:eastAsia="仿宋_GB2312"/>
          <w:color w:val="auto"/>
          <w:sz w:val="30"/>
          <w:szCs w:val="30"/>
          <w:highlight w:val="none"/>
          <w:lang w:eastAsia="zh-CN"/>
        </w:rPr>
        <w:t>其他收入</w:t>
      </w:r>
      <w:r>
        <w:rPr>
          <w:rFonts w:hint="eastAsia" w:ascii="Times New Roman" w:hAnsi="Times New Roman" w:eastAsia="仿宋_GB2312"/>
          <w:color w:val="auto"/>
          <w:sz w:val="30"/>
          <w:szCs w:val="30"/>
          <w:highlight w:val="none"/>
          <w:lang w:val="en-US" w:eastAsia="zh-CN"/>
        </w:rPr>
        <w:t>减少</w:t>
      </w:r>
      <w:r>
        <w:rPr>
          <w:rFonts w:hint="eastAsia" w:ascii="Times New Roman" w:hAnsi="Times New Roman" w:eastAsia="仿宋_GB2312" w:cs="仿宋_GB2312"/>
          <w:color w:val="auto"/>
          <w:sz w:val="30"/>
          <w:lang w:val="zh-CN"/>
        </w:rPr>
        <w:t>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lang w:val="en-US" w:eastAsia="zh-CN"/>
        </w:rPr>
        <w:t>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w:t>
      </w:r>
      <w:r>
        <w:rPr>
          <w:rFonts w:hint="eastAsia" w:ascii="Times New Roman" w:hAnsi="Times New Roman" w:eastAsia="仿宋_GB2312"/>
          <w:color w:val="auto"/>
          <w:sz w:val="30"/>
          <w:szCs w:val="30"/>
          <w:highlight w:val="none"/>
        </w:rPr>
        <w:t>，主要原因</w:t>
      </w:r>
      <w:r>
        <w:rPr>
          <w:rFonts w:hint="eastAsia" w:ascii="Times New Roman" w:hAnsi="Times New Roman" w:eastAsia="仿宋_GB2312"/>
          <w:color w:val="auto"/>
          <w:sz w:val="30"/>
          <w:szCs w:val="30"/>
          <w:highlight w:val="none"/>
          <w:lang w:eastAsia="zh-CN"/>
        </w:rPr>
        <w:t>是</w:t>
      </w:r>
      <w:r>
        <w:rPr>
          <w:rFonts w:hint="eastAsia" w:ascii="Times New Roman" w:hAnsi="Times New Roman" w:eastAsia="仿宋_GB2312"/>
          <w:color w:val="auto"/>
          <w:sz w:val="30"/>
          <w:szCs w:val="30"/>
          <w:highlight w:val="none"/>
          <w:lang w:val="en-US" w:eastAsia="zh-CN"/>
        </w:rPr>
        <w:t>2025年无其他收入。</w:t>
      </w:r>
    </w:p>
    <w:p w14:paraId="46133BBE">
      <w:pPr>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二、支出决算情况说明</w:t>
      </w:r>
    </w:p>
    <w:p w14:paraId="01433FFF">
      <w:pPr>
        <w:spacing w:line="600" w:lineRule="exact"/>
        <w:ind w:firstLine="600" w:firstLineChars="200"/>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支出合计</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515.64</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。其中：</w:t>
      </w:r>
      <w:r>
        <w:rPr>
          <w:rFonts w:hint="eastAsia" w:ascii="Times New Roman" w:hAnsi="Times New Roman" w:eastAsia="仿宋_GB2312" w:cs="Arial"/>
          <w:color w:val="auto"/>
          <w:kern w:val="0"/>
          <w:sz w:val="30"/>
          <w:szCs w:val="30"/>
          <w:highlight w:val="none"/>
        </w:rPr>
        <w:t>基本支出</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515.64</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，占总支出的</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项目支出；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上缴上级支出；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经营支出；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对附属单位补助支出。</w:t>
      </w:r>
    </w:p>
    <w:p w14:paraId="7D27226D">
      <w:pPr>
        <w:spacing w:line="600" w:lineRule="exact"/>
        <w:ind w:firstLine="600" w:firstLineChars="200"/>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与上年</w:t>
      </w:r>
      <w:r>
        <w:rPr>
          <w:rFonts w:hint="eastAsia" w:ascii="Times New Roman" w:hAnsi="Times New Roman" w:eastAsia="仿宋_GB2312"/>
          <w:color w:val="auto"/>
          <w:sz w:val="30"/>
          <w:szCs w:val="30"/>
          <w:highlight w:val="none"/>
          <w:lang w:eastAsia="zh-CN"/>
        </w:rPr>
        <w:t>相比，支出</w:t>
      </w:r>
      <w:r>
        <w:rPr>
          <w:rFonts w:hint="eastAsia" w:ascii="Times New Roman" w:hAnsi="Times New Roman" w:eastAsia="仿宋_GB2312"/>
          <w:color w:val="auto"/>
          <w:sz w:val="30"/>
          <w:szCs w:val="30"/>
          <w:highlight w:val="none"/>
        </w:rPr>
        <w:t>合计</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280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521.46</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13.31</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w:t>
      </w:r>
      <w:r>
        <w:rPr>
          <w:rFonts w:hint="eastAsia" w:ascii="Times New Roman" w:hAnsi="Times New Roman" w:eastAsia="仿宋_GB2312" w:cs="Arial"/>
          <w:color w:val="auto"/>
          <w:kern w:val="0"/>
          <w:sz w:val="30"/>
          <w:szCs w:val="30"/>
          <w:highlight w:val="none"/>
        </w:rPr>
        <w:t>基本支出</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284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503.96</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13.53</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eastAsia="zh-CN"/>
        </w:rPr>
        <w:t>,主要原因是</w:t>
      </w:r>
      <w:r>
        <w:rPr>
          <w:rFonts w:hint="eastAsia" w:ascii="Times New Roman" w:hAnsi="Times New Roman" w:eastAsia="仿宋_GB2312" w:cs="Times New Roman"/>
          <w:color w:val="auto"/>
          <w:sz w:val="30"/>
          <w:szCs w:val="30"/>
          <w:highlight w:val="none"/>
          <w:lang w:val="en-US" w:eastAsia="zh-CN"/>
        </w:rPr>
        <w:t>2024</w:t>
      </w:r>
      <w:r>
        <w:rPr>
          <w:rFonts w:hint="eastAsia" w:ascii="Times New Roman" w:hAnsi="Times New Roman" w:eastAsia="仿宋_GB2312"/>
          <w:color w:val="auto"/>
          <w:sz w:val="30"/>
          <w:szCs w:val="30"/>
          <w:highlight w:val="none"/>
          <w:lang w:val="en-US" w:eastAsia="zh-CN"/>
        </w:rPr>
        <w:t>年人员基本工资支出增加</w:t>
      </w:r>
      <w:r>
        <w:rPr>
          <w:rFonts w:hint="eastAsia" w:ascii="Times New Roman" w:hAnsi="Times New Roman" w:eastAsia="仿宋_GB2312"/>
          <w:color w:val="auto"/>
          <w:sz w:val="30"/>
          <w:szCs w:val="30"/>
          <w:highlight w:val="none"/>
          <w:lang w:eastAsia="zh-CN"/>
        </w:rPr>
        <w:t>；项目支出</w:t>
      </w:r>
      <w:r>
        <w:rPr>
          <w:rFonts w:hint="eastAsia" w:ascii="Times New Roman" w:hAnsi="Times New Roman" w:eastAsia="仿宋_GB2312"/>
          <w:color w:val="auto"/>
          <w:sz w:val="30"/>
          <w:szCs w:val="30"/>
          <w:highlight w:val="none"/>
          <w:lang w:val="en-US" w:eastAsia="zh-CN"/>
        </w:rPr>
        <w:t>减少</w:t>
      </w:r>
      <w:r>
        <w:rPr>
          <w:rFonts w:hint="eastAsia" w:ascii="Times New Roman" w:hAnsi="Times New Roman" w:eastAsia="仿宋_GB2312" w:cs="仿宋_GB2312"/>
          <w:color w:val="auto"/>
          <w:sz w:val="30"/>
          <w:lang w:val="zh-CN"/>
        </w:rPr>
        <w:t>3</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982.50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lang w:val="en-US" w:eastAsia="zh-CN"/>
        </w:rPr>
        <w:t>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，主要原因是</w:t>
      </w:r>
      <w:r>
        <w:rPr>
          <w:rFonts w:hint="eastAsia" w:ascii="Times New Roman" w:hAnsi="Times New Roman" w:eastAsia="仿宋_GB2312"/>
          <w:color w:val="auto"/>
          <w:sz w:val="30"/>
          <w:szCs w:val="30"/>
          <w:highlight w:val="none"/>
          <w:lang w:val="en-US" w:eastAsia="zh-CN"/>
        </w:rPr>
        <w:t>2025年无项目经费支出。</w:t>
      </w:r>
    </w:p>
    <w:p w14:paraId="746C5FCA">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（一）基本支出情况</w:t>
      </w:r>
    </w:p>
    <w:p w14:paraId="548EE9A4">
      <w:pPr>
        <w:widowControl/>
        <w:snapToGrid w:val="0"/>
        <w:spacing w:before="100" w:after="100" w:line="600" w:lineRule="exact"/>
        <w:ind w:firstLine="538"/>
        <w:jc w:val="left"/>
        <w:rPr>
          <w:rFonts w:hint="eastAsia" w:ascii="Times New Roman" w:hAnsi="Times New Roman" w:eastAsia="仿宋_GB2312"/>
          <w:color w:val="auto"/>
          <w:sz w:val="30"/>
          <w:szCs w:val="30"/>
          <w:highlight w:val="none"/>
        </w:rPr>
      </w:pPr>
      <w:r>
        <w:rPr>
          <w:rFonts w:hint="eastAsia" w:ascii="Times New Roman" w:hAnsi="Times New Roman" w:eastAsia="仿宋_GB2312" w:cs="仿宋_GB2312"/>
          <w:color w:val="auto"/>
          <w:sz w:val="30"/>
          <w:szCs w:val="30"/>
          <w:highlight w:val="none"/>
          <w:lang w:val="en-US" w:eastAsia="zh-CN"/>
        </w:rPr>
        <w:t>2025年度</w:t>
      </w:r>
      <w:r>
        <w:rPr>
          <w:rFonts w:hint="eastAsia" w:ascii="Times New Roman" w:hAnsi="Times New Roman" w:eastAsia="仿宋_GB2312" w:cs="仿宋_GB2312"/>
          <w:color w:val="auto"/>
          <w:sz w:val="30"/>
          <w:szCs w:val="30"/>
          <w:highlight w:val="none"/>
        </w:rPr>
        <w:t>用于保障</w:t>
      </w: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s="仿宋_GB2312"/>
          <w:color w:val="auto"/>
          <w:sz w:val="30"/>
          <w:szCs w:val="30"/>
          <w:highlight w:val="none"/>
        </w:rPr>
        <w:t>机构正常运转的日常支出</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515.64</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w:t>
      </w:r>
      <w:r>
        <w:rPr>
          <w:rFonts w:hint="eastAsia" w:ascii="Times New Roman" w:hAnsi="Times New Roman" w:eastAsia="仿宋_GB2312" w:cs="仿宋_GB2312"/>
          <w:color w:val="auto"/>
          <w:sz w:val="30"/>
          <w:szCs w:val="30"/>
          <w:highlight w:val="none"/>
          <w:lang w:eastAsia="zh-CN"/>
        </w:rPr>
        <w:t>其中：</w:t>
      </w:r>
      <w:r>
        <w:rPr>
          <w:rFonts w:hint="eastAsia" w:ascii="Times New Roman" w:hAnsi="Times New Roman" w:eastAsia="仿宋_GB2312" w:cs="仿宋_GB2312"/>
          <w:color w:val="auto"/>
          <w:sz w:val="30"/>
          <w:szCs w:val="30"/>
          <w:highlight w:val="none"/>
        </w:rPr>
        <w:t>基本工资、津贴补贴等人员经费支出</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358</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867.47</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占基本支出的</w:t>
      </w:r>
      <w:r>
        <w:rPr>
          <w:rFonts w:hint="eastAsia" w:ascii="Times New Roman" w:hAnsi="Times New Roman" w:eastAsia="仿宋_GB2312" w:cs="仿宋_GB2312"/>
          <w:color w:val="auto"/>
          <w:sz w:val="30"/>
          <w:lang w:val="zh-CN"/>
        </w:rPr>
        <w:t>98.80</w:t>
      </w:r>
      <w:r>
        <w:rPr>
          <w:rFonts w:hint="eastAsia" w:ascii="Times New Roman" w:hAnsi="Times New Roman" w:eastAsia="仿宋_GB2312" w:cs="仿宋_GB2312"/>
          <w:color w:val="auto"/>
          <w:sz w:val="30"/>
          <w:szCs w:val="30"/>
          <w:highlight w:val="none"/>
        </w:rPr>
        <w:t>％；办公费、印刷费、水电费、办公设备购置等公用经费</w:t>
      </w:r>
      <w:r>
        <w:rPr>
          <w:rFonts w:hint="eastAsia" w:ascii="Times New Roman" w:hAnsi="Times New Roman" w:eastAsia="仿宋_GB2312" w:cs="仿宋_GB2312"/>
          <w:color w:val="auto"/>
          <w:sz w:val="30"/>
          <w:lang w:val="zh-CN"/>
        </w:rPr>
        <w:t>28</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648.17</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占基本支出的</w:t>
      </w:r>
      <w:r>
        <w:rPr>
          <w:rFonts w:hint="eastAsia" w:ascii="Times New Roman" w:hAnsi="Times New Roman" w:eastAsia="仿宋_GB2312" w:cs="仿宋_GB2312"/>
          <w:color w:val="auto"/>
          <w:sz w:val="30"/>
          <w:lang w:val="zh-CN"/>
        </w:rPr>
        <w:t>1.20</w:t>
      </w:r>
      <w:r>
        <w:rPr>
          <w:rFonts w:hint="eastAsia" w:ascii="Times New Roman" w:hAnsi="Times New Roman" w:eastAsia="仿宋_GB2312" w:cs="仿宋_GB2312"/>
          <w:color w:val="auto"/>
          <w:sz w:val="30"/>
          <w:szCs w:val="30"/>
          <w:highlight w:val="none"/>
        </w:rPr>
        <w:t>％。</w:t>
      </w:r>
    </w:p>
    <w:p w14:paraId="25C92663">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（二）项目支出情况</w:t>
      </w:r>
    </w:p>
    <w:p w14:paraId="2591C93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用于保障</w:t>
      </w: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olor w:val="auto"/>
          <w:sz w:val="30"/>
          <w:szCs w:val="30"/>
          <w:highlight w:val="none"/>
        </w:rPr>
        <w:t>为完成特定的行政工作任务或事业发展目标，用于专项业务工作的经费支出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其中：基本建设类项目支出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p>
    <w:p w14:paraId="71B9866C">
      <w:pPr>
        <w:widowControl/>
        <w:snapToGrid w:val="0"/>
        <w:spacing w:before="100" w:after="100" w:line="600" w:lineRule="exact"/>
        <w:ind w:firstLine="600" w:firstLineChars="200"/>
        <w:jc w:val="left"/>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eastAsia="zh-CN"/>
        </w:rPr>
        <w:t>本单位无项目支出</w:t>
      </w:r>
    </w:p>
    <w:p w14:paraId="43CFB4C6">
      <w:pPr>
        <w:widowControl/>
        <w:snapToGrid w:val="0"/>
        <w:spacing w:before="100" w:after="100" w:line="600" w:lineRule="exact"/>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三、一般公共预算财政拨款支出决算情况说明</w:t>
      </w:r>
    </w:p>
    <w:p w14:paraId="2C91762E">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（一）一般公共预算财政拨款支出决算总体情况</w:t>
      </w:r>
    </w:p>
    <w:p w14:paraId="04CA55FC">
      <w:pPr>
        <w:widowControl/>
        <w:snapToGrid w:val="0"/>
        <w:spacing w:before="100" w:after="100"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一般公共预算财政拨款支出</w:t>
      </w:r>
      <w:r>
        <w:rPr>
          <w:rFonts w:hint="eastAsia" w:ascii="Times New Roman" w:hAnsi="Times New Roman" w:eastAsia="仿宋_GB2312" w:cs="仿宋_GB2312"/>
          <w:color w:val="auto"/>
          <w:kern w:val="0"/>
          <w:sz w:val="30"/>
          <w:lang w:val="zh-CN"/>
        </w:rPr>
        <w:t>2</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387</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515.64</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,占本年支出合计的</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rPr>
        <w:t>%。与上年</w:t>
      </w:r>
      <w:r>
        <w:rPr>
          <w:rFonts w:hint="eastAsia" w:ascii="Times New Roman" w:hAnsi="Times New Roman" w:eastAsia="仿宋_GB2312" w:cs="Arial"/>
          <w:color w:val="auto"/>
          <w:kern w:val="0"/>
          <w:sz w:val="30"/>
          <w:szCs w:val="30"/>
          <w:highlight w:val="none"/>
          <w:lang w:eastAsia="zh-CN"/>
        </w:rPr>
        <w:t>相比</w:t>
      </w:r>
      <w:r>
        <w:rPr>
          <w:rFonts w:hint="eastAsia" w:ascii="Times New Roman" w:hAnsi="Times New Roman" w:eastAsia="仿宋_GB2312" w:cs="Arial"/>
          <w:color w:val="auto"/>
          <w:kern w:val="0"/>
          <w:sz w:val="30"/>
          <w:szCs w:val="30"/>
          <w:highlight w:val="none"/>
        </w:rPr>
        <w:t>增加</w:t>
      </w:r>
      <w:r>
        <w:rPr>
          <w:rFonts w:hint="eastAsia" w:ascii="Times New Roman" w:hAnsi="Times New Roman" w:eastAsia="仿宋_GB2312" w:cs="仿宋_GB2312"/>
          <w:color w:val="auto"/>
          <w:kern w:val="0"/>
          <w:sz w:val="30"/>
          <w:lang w:val="zh-CN"/>
        </w:rPr>
        <w:t>284</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503.96</w:t>
      </w:r>
      <w:r>
        <w:rPr>
          <w:rFonts w:hint="eastAsia" w:ascii="Times New Roman" w:hAnsi="Times New Roman" w:eastAsia="仿宋_GB2312" w:cs="Arial"/>
          <w:color w:val="auto"/>
          <w:kern w:val="0"/>
          <w:sz w:val="30"/>
          <w:szCs w:val="30"/>
          <w:highlight w:val="none"/>
        </w:rPr>
        <w:t>元，增长</w:t>
      </w:r>
      <w:r>
        <w:rPr>
          <w:rFonts w:hint="eastAsia" w:ascii="Times New Roman" w:hAnsi="Times New Roman" w:eastAsia="仿宋_GB2312" w:cs="仿宋_GB2312"/>
          <w:color w:val="auto"/>
          <w:kern w:val="0"/>
          <w:sz w:val="30"/>
          <w:lang w:val="zh-CN"/>
        </w:rPr>
        <w:t>13.53</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sz w:val="30"/>
          <w:lang w:val="zh-CN"/>
        </w:rPr>
        <w:t>102.02</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w:t>
      </w:r>
    </w:p>
    <w:p w14:paraId="610F5F79">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（二）一般公共预算财政拨款支出决算</w:t>
      </w:r>
      <w:r>
        <w:rPr>
          <w:rFonts w:hint="eastAsia" w:ascii="Times New Roman" w:hAnsi="Times New Roman" w:eastAsia="楷体"/>
          <w:color w:val="auto"/>
          <w:sz w:val="30"/>
          <w:szCs w:val="30"/>
          <w:highlight w:val="none"/>
          <w:lang w:eastAsia="zh-CN"/>
        </w:rPr>
        <w:t>分功能分类科目情况</w:t>
      </w:r>
      <w:r>
        <w:rPr>
          <w:rFonts w:hint="eastAsia" w:ascii="Times New Roman" w:hAnsi="Times New Roman" w:eastAsia="楷体"/>
          <w:color w:val="auto"/>
          <w:sz w:val="30"/>
          <w:szCs w:val="30"/>
          <w:highlight w:val="none"/>
        </w:rPr>
        <w:tab/>
      </w:r>
    </w:p>
    <w:p w14:paraId="4A73BA82">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Arial"/>
          <w:color w:val="auto"/>
          <w:kern w:val="0"/>
          <w:sz w:val="30"/>
          <w:szCs w:val="30"/>
          <w:highlight w:val="none"/>
        </w:rPr>
        <w:t>1.一般公共服务（类）支出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1BA22B53">
      <w:pPr>
        <w:widowControl/>
        <w:snapToGrid w:val="0"/>
        <w:spacing w:before="100" w:after="100" w:line="360" w:lineRule="auto"/>
        <w:ind w:firstLine="600" w:firstLineChars="200"/>
        <w:jc w:val="left"/>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rPr>
        <w:t>2.外交（类）支出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55269537">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3.国防（类）支出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5FC98D80">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Arial"/>
          <w:color w:val="auto"/>
          <w:kern w:val="0"/>
          <w:sz w:val="30"/>
          <w:szCs w:val="30"/>
          <w:highlight w:val="none"/>
        </w:rPr>
        <w:t>4.公共安全（类）支出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10EF1199">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5.教育（类）支出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4600300C">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6.科学技术（类）支出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25D96E37">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7.文化旅游体育与传媒（类）支出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4182FCF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8.社会保障和就业（类）支出</w:t>
      </w:r>
      <w:r>
        <w:rPr>
          <w:rFonts w:hint="eastAsia" w:ascii="Times New Roman" w:hAnsi="Times New Roman" w:eastAsia="仿宋_GB2312" w:cs="仿宋_GB2312"/>
          <w:color w:val="auto"/>
          <w:kern w:val="0"/>
          <w:sz w:val="30"/>
          <w:lang w:val="en-US" w:eastAsia="zh-CN"/>
        </w:rPr>
        <w:t>246,808.16</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10.34</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72.47</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s="Arial"/>
          <w:color w:val="auto"/>
          <w:kern w:val="0"/>
          <w:sz w:val="30"/>
          <w:szCs w:val="30"/>
          <w:highlight w:val="none"/>
          <w:lang w:val="en-US" w:eastAsia="zh-CN"/>
        </w:rPr>
        <w:t>机关事业单位基本养老保险缴费支出</w:t>
      </w:r>
      <w:r>
        <w:rPr>
          <w:rFonts w:hint="eastAsia" w:ascii="Times New Roman" w:hAnsi="Times New Roman" w:eastAsia="仿宋_GB2312" w:cs="Times New Roman"/>
          <w:color w:val="auto"/>
          <w:kern w:val="0"/>
          <w:sz w:val="30"/>
          <w:szCs w:val="30"/>
          <w:highlight w:val="none"/>
          <w:lang w:val="en-US" w:eastAsia="zh-CN"/>
        </w:rPr>
        <w:t>246,808.16</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w:t>
      </w:r>
      <w:r>
        <w:rPr>
          <w:rFonts w:hint="eastAsia" w:ascii="Times New Roman" w:hAnsi="Times New Roman" w:eastAsia="仿宋_GB2312" w:cs="Arial"/>
          <w:color w:val="auto"/>
          <w:kern w:val="0"/>
          <w:sz w:val="30"/>
          <w:szCs w:val="30"/>
          <w:highlight w:val="none"/>
          <w:lang w:val="en-US" w:eastAsia="zh-CN"/>
        </w:rPr>
        <w:t>事业单位离退休未支出</w:t>
      </w:r>
      <w:r>
        <w:rPr>
          <w:rFonts w:hint="eastAsia" w:ascii="Times New Roman" w:hAnsi="Times New Roman" w:eastAsia="仿宋_GB2312" w:cs="Arial"/>
          <w:color w:val="auto"/>
          <w:kern w:val="0"/>
          <w:sz w:val="30"/>
          <w:szCs w:val="30"/>
          <w:highlight w:val="none"/>
          <w:lang w:eastAsia="zh-CN"/>
        </w:rPr>
        <w:t>。</w:t>
      </w:r>
    </w:p>
    <w:p w14:paraId="11B250A8">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9.卫生健康（类）支出</w:t>
      </w:r>
      <w:r>
        <w:rPr>
          <w:rFonts w:hint="eastAsia" w:ascii="Times New Roman" w:hAnsi="Times New Roman" w:eastAsia="仿宋_GB2312" w:cs="仿宋_GB2312"/>
          <w:color w:val="auto"/>
          <w:kern w:val="0"/>
          <w:sz w:val="30"/>
          <w:lang w:val="zh-CN"/>
        </w:rPr>
        <w:t>218</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736.88</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9.16</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103.69</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s="Arial"/>
          <w:color w:val="auto"/>
          <w:kern w:val="0"/>
          <w:sz w:val="30"/>
          <w:szCs w:val="30"/>
          <w:highlight w:val="none"/>
          <w:lang w:val="en-US"/>
        </w:rPr>
        <w:t>事业单位医疗</w:t>
      </w:r>
      <w:r>
        <w:rPr>
          <w:rFonts w:hint="eastAsia" w:ascii="Times New Roman" w:hAnsi="Times New Roman" w:eastAsia="仿宋_GB2312" w:cs="Times New Roman"/>
          <w:color w:val="auto"/>
          <w:kern w:val="0"/>
          <w:sz w:val="30"/>
          <w:szCs w:val="30"/>
          <w:highlight w:val="none"/>
          <w:lang w:val="en-US" w:eastAsia="zh-CN"/>
        </w:rPr>
        <w:t>123,515.53</w:t>
      </w:r>
      <w:r>
        <w:rPr>
          <w:rFonts w:hint="eastAsia" w:ascii="Times New Roman" w:hAnsi="Times New Roman" w:eastAsia="仿宋_GB2312" w:cs="Arial"/>
          <w:color w:val="auto"/>
          <w:kern w:val="0"/>
          <w:sz w:val="30"/>
          <w:szCs w:val="30"/>
          <w:highlight w:val="none"/>
          <w:lang w:val="en-US"/>
        </w:rPr>
        <w:t>元、公务员医疗补助</w:t>
      </w:r>
      <w:r>
        <w:rPr>
          <w:rFonts w:hint="eastAsia" w:ascii="Times New Roman" w:hAnsi="Times New Roman" w:eastAsia="仿宋_GB2312" w:cs="Times New Roman"/>
          <w:color w:val="auto"/>
          <w:kern w:val="0"/>
          <w:sz w:val="30"/>
          <w:szCs w:val="30"/>
          <w:highlight w:val="none"/>
          <w:lang w:val="en-US" w:eastAsia="zh-CN"/>
        </w:rPr>
        <w:t>84,152.18</w:t>
      </w:r>
      <w:r>
        <w:rPr>
          <w:rFonts w:hint="eastAsia" w:ascii="Times New Roman" w:hAnsi="Times New Roman" w:eastAsia="仿宋_GB2312" w:cs="Arial"/>
          <w:color w:val="auto"/>
          <w:kern w:val="0"/>
          <w:sz w:val="30"/>
          <w:szCs w:val="30"/>
          <w:highlight w:val="none"/>
          <w:lang w:val="en-US"/>
        </w:rPr>
        <w:t>元、其他行政事业单位医疗支出</w:t>
      </w:r>
      <w:r>
        <w:rPr>
          <w:rFonts w:hint="eastAsia" w:ascii="Times New Roman" w:hAnsi="Times New Roman" w:eastAsia="仿宋_GB2312" w:cs="Times New Roman"/>
          <w:color w:val="auto"/>
          <w:kern w:val="0"/>
          <w:sz w:val="30"/>
          <w:szCs w:val="30"/>
          <w:highlight w:val="none"/>
          <w:lang w:val="en-US" w:eastAsia="zh-CN"/>
        </w:rPr>
        <w:t>11,069.17</w:t>
      </w:r>
      <w:r>
        <w:rPr>
          <w:rFonts w:hint="eastAsia" w:ascii="Times New Roman" w:hAnsi="Times New Roman" w:eastAsia="仿宋_GB2312" w:cs="Arial"/>
          <w:color w:val="auto"/>
          <w:kern w:val="0"/>
          <w:sz w:val="30"/>
          <w:szCs w:val="30"/>
          <w:highlight w:val="none"/>
          <w:lang w:val="en-US"/>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造成预决算差异的主要原因是缴费基数调整，应缴保费减少。</w:t>
      </w:r>
    </w:p>
    <w:p w14:paraId="4D82BC33">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10.节能环保（类）支出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4A39ADA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11.城乡社区（类）支出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6E217401">
      <w:pPr>
        <w:widowControl/>
        <w:snapToGrid w:val="0"/>
        <w:spacing w:before="100" w:after="100" w:line="360" w:lineRule="auto"/>
        <w:ind w:firstLine="600" w:firstLineChars="200"/>
        <w:jc w:val="left"/>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仿宋_GB2312"/>
          <w:color w:val="auto"/>
          <w:kern w:val="0"/>
          <w:sz w:val="30"/>
          <w:lang w:val="en-US"/>
        </w:rPr>
        <w:t>12.农林水（类）支出</w:t>
      </w:r>
      <w:r>
        <w:rPr>
          <w:rFonts w:hint="eastAsia" w:ascii="Times New Roman" w:hAnsi="Times New Roman" w:eastAsia="仿宋_GB2312" w:cs="仿宋_GB2312"/>
          <w:color w:val="auto"/>
          <w:kern w:val="0"/>
          <w:sz w:val="30"/>
          <w:lang w:val="zh-CN"/>
        </w:rPr>
        <w:t>1</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772</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788.60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74.25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110.10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s="Arial"/>
          <w:color w:val="auto"/>
          <w:kern w:val="0"/>
          <w:sz w:val="30"/>
          <w:szCs w:val="30"/>
          <w:highlight w:val="none"/>
          <w:lang w:val="en-US"/>
        </w:rPr>
        <w:t>事业运行</w:t>
      </w:r>
      <w:r>
        <w:rPr>
          <w:rFonts w:hint="eastAsia" w:ascii="Times New Roman" w:hAnsi="Times New Roman" w:eastAsia="仿宋_GB2312" w:cs="Arial"/>
          <w:color w:val="auto"/>
          <w:kern w:val="0"/>
          <w:sz w:val="30"/>
          <w:szCs w:val="30"/>
          <w:highlight w:val="none"/>
          <w:lang w:val="en-US" w:eastAsia="zh-CN"/>
        </w:rPr>
        <w:t>支</w:t>
      </w:r>
      <w:bookmarkStart w:id="0" w:name="_GoBack"/>
      <w:bookmarkEnd w:id="0"/>
      <w:r>
        <w:rPr>
          <w:rFonts w:hint="eastAsia" w:ascii="Times New Roman" w:hAnsi="Times New Roman" w:eastAsia="仿宋_GB2312" w:cs="Arial"/>
          <w:color w:val="auto"/>
          <w:kern w:val="0"/>
          <w:sz w:val="30"/>
          <w:szCs w:val="30"/>
          <w:highlight w:val="none"/>
          <w:lang w:val="en-US" w:eastAsia="zh-CN"/>
        </w:rPr>
        <w:t>出</w:t>
      </w:r>
      <w:r>
        <w:rPr>
          <w:rFonts w:hint="eastAsia" w:ascii="Times New Roman" w:hAnsi="Times New Roman" w:eastAsia="仿宋_GB2312" w:cs="Times New Roman"/>
          <w:color w:val="auto"/>
          <w:kern w:val="0"/>
          <w:sz w:val="30"/>
          <w:szCs w:val="30"/>
          <w:highlight w:val="none"/>
          <w:lang w:val="en-US" w:eastAsia="zh-CN"/>
        </w:rPr>
        <w:t>1,772,788.6</w:t>
      </w:r>
      <w:r>
        <w:rPr>
          <w:rFonts w:hint="eastAsia" w:eastAsia="仿宋_GB2312" w:cs="Times New Roman"/>
          <w:color w:val="auto"/>
          <w:kern w:val="0"/>
          <w:sz w:val="30"/>
          <w:szCs w:val="30"/>
          <w:highlight w:val="none"/>
          <w:lang w:val="en-US" w:eastAsia="zh-CN"/>
        </w:rPr>
        <w:t>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造成预决算差异的主要原因是人员工资增加。</w:t>
      </w:r>
    </w:p>
    <w:p w14:paraId="3E749FB7">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13.交通运输（类）支出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0B77C185">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14.资源勘探工业信息等（类）支出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7BE27B7F">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15.商业服务业等（类）支出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5AF6B7EA">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16.金融（类）支出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03F361E8">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17.援助其他地区（类）支出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3B52A67E">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18.自然资源海洋气象等（类）支出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19EF5D39">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19.住房保障（类）支出</w:t>
      </w:r>
      <w:r>
        <w:rPr>
          <w:rFonts w:hint="eastAsia" w:ascii="Times New Roman" w:hAnsi="Times New Roman" w:eastAsia="仿宋_GB2312" w:cs="仿宋_GB2312"/>
          <w:color w:val="auto"/>
          <w:kern w:val="0"/>
          <w:sz w:val="30"/>
          <w:lang w:val="zh-CN"/>
        </w:rPr>
        <w:t>149</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182.00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6.25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83.58</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s="Arial"/>
          <w:color w:val="auto"/>
          <w:kern w:val="0"/>
          <w:sz w:val="30"/>
          <w:szCs w:val="30"/>
          <w:highlight w:val="none"/>
          <w:lang w:val="en-US"/>
        </w:rPr>
        <w:t>支付单位人员住房公积金补助</w:t>
      </w:r>
      <w:r>
        <w:rPr>
          <w:rFonts w:hint="eastAsia" w:ascii="Times New Roman" w:hAnsi="Times New Roman" w:eastAsia="仿宋_GB2312" w:cs="Times New Roman"/>
          <w:color w:val="auto"/>
          <w:kern w:val="0"/>
          <w:sz w:val="30"/>
          <w:szCs w:val="30"/>
          <w:highlight w:val="none"/>
          <w:lang w:val="en-US" w:eastAsia="zh-CN"/>
        </w:rPr>
        <w:t>149,182.00</w:t>
      </w:r>
      <w:r>
        <w:rPr>
          <w:rFonts w:hint="eastAsia" w:ascii="Times New Roman" w:hAnsi="Times New Roman" w:eastAsia="仿宋_GB2312" w:cs="Arial"/>
          <w:color w:val="auto"/>
          <w:kern w:val="0"/>
          <w:sz w:val="30"/>
          <w:szCs w:val="30"/>
          <w:highlight w:val="none"/>
          <w:lang w:val="en-US"/>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造成预决算差异的主要原因是部分住房公积金未支出。</w:t>
      </w:r>
    </w:p>
    <w:p w14:paraId="0F48B61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20.粮油物资储备（类）支出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37C73860">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21.国有资本经营预算（类）支出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30404FE3">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22.灾害防治及应急管理（类）支出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0E212A7E">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23.其他（类）支出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08C65245">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24.债务还本（类）支出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2DB7A8F2">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25.债务付息（类）支出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5FE10877">
      <w:pPr>
        <w:widowControl/>
        <w:snapToGrid w:val="0"/>
        <w:spacing w:before="100" w:after="100" w:line="360" w:lineRule="auto"/>
        <w:ind w:firstLine="600" w:firstLineChars="200"/>
        <w:jc w:val="left"/>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s="仿宋_GB2312"/>
          <w:color w:val="auto"/>
          <w:kern w:val="0"/>
          <w:sz w:val="30"/>
          <w:lang w:val="en-US"/>
        </w:rPr>
        <w:t>26.抗疫特别国债安排（类）支出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s="Arial"/>
          <w:color w:val="auto"/>
          <w:kern w:val="0"/>
          <w:sz w:val="30"/>
          <w:szCs w:val="30"/>
          <w:highlight w:val="none"/>
          <w:lang w:eastAsia="zh-CN"/>
        </w:rPr>
        <w:t>无支出</w:t>
      </w:r>
      <w:r>
        <w:rPr>
          <w:rFonts w:hint="eastAsia" w:ascii="Times New Roman" w:hAnsi="Times New Roman" w:eastAsia="仿宋_GB2312"/>
          <w:color w:val="auto"/>
          <w:sz w:val="30"/>
          <w:szCs w:val="30"/>
          <w:lang w:eastAsia="zh-CN"/>
        </w:rPr>
        <w:t>。</w:t>
      </w:r>
    </w:p>
    <w:p w14:paraId="468E7386">
      <w:pPr>
        <w:widowControl/>
        <w:numPr>
          <w:ilvl w:val="0"/>
          <w:numId w:val="1"/>
        </w:numPr>
        <w:snapToGrid w:val="0"/>
        <w:spacing w:before="100" w:after="100" w:line="360" w:lineRule="auto"/>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财政拨款“三公”经费支出决算情况说明</w:t>
      </w:r>
    </w:p>
    <w:p w14:paraId="3A43F71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color w:val="auto"/>
          <w:kern w:val="0"/>
          <w:sz w:val="30"/>
          <w:szCs w:val="30"/>
          <w:highlight w:val="none"/>
          <w:lang w:val="en-US" w:eastAsia="zh-CN"/>
        </w:rPr>
      </w:pPr>
      <w:r>
        <w:rPr>
          <w:rFonts w:hint="eastAsia" w:ascii="Times New Roman" w:hAnsi="Times New Roman" w:eastAsia="楷体_GB2312" w:cs="楷体_GB2312"/>
          <w:color w:val="auto"/>
          <w:kern w:val="0"/>
          <w:sz w:val="30"/>
          <w:szCs w:val="30"/>
          <w:highlight w:val="none"/>
          <w:lang w:val="en-US" w:eastAsia="zh-CN"/>
        </w:rPr>
        <w:t>（一）总体情况</w:t>
      </w:r>
    </w:p>
    <w:p w14:paraId="158EE2E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lang w:val="en-US" w:eastAsia="zh-CN"/>
        </w:rPr>
        <w:t>2025年度</w:t>
      </w:r>
      <w:r>
        <w:rPr>
          <w:rFonts w:hint="eastAsia" w:ascii="Times New Roman" w:hAnsi="Times New Roman" w:eastAsia="仿宋_GB2312" w:cs="Arial"/>
          <w:color w:val="auto"/>
          <w:kern w:val="0"/>
          <w:sz w:val="30"/>
          <w:szCs w:val="30"/>
          <w:highlight w:val="none"/>
        </w:rPr>
        <w:t>财政拨款“三公”经费支出决算中，财政拨款“三公”经费支出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kern w:val="0"/>
          <w:sz w:val="30"/>
          <w:lang w:val="en-US" w:eastAsia="zh-CN"/>
        </w:rPr>
        <w:t>7,800.00</w:t>
      </w:r>
      <w:r>
        <w:rPr>
          <w:rFonts w:hint="eastAsia" w:ascii="Times New Roman" w:hAnsi="Times New Roman" w:eastAsia="仿宋_GB2312" w:cs="Arial"/>
          <w:color w:val="auto"/>
          <w:kern w:val="0"/>
          <w:sz w:val="30"/>
          <w:szCs w:val="30"/>
          <w:highlight w:val="none"/>
        </w:rPr>
        <w:t>元，决算为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rPr>
        <w:t>元，完成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预算的</w:t>
      </w:r>
      <w:r>
        <w:rPr>
          <w:rFonts w:hint="eastAsia" w:ascii="Times New Roman" w:hAnsi="Times New Roman" w:eastAsia="仿宋_GB2312" w:cs="仿宋_GB2312"/>
          <w:color w:val="auto"/>
          <w:sz w:val="30"/>
          <w:lang w:val="zh-CN"/>
        </w:rPr>
        <w:t>14.92</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lang w:val="en-US"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olor w:val="auto"/>
          <w:sz w:val="30"/>
          <w:szCs w:val="30"/>
          <w:lang w:eastAsia="zh-CN"/>
        </w:rPr>
        <w:t>。</w:t>
      </w:r>
    </w:p>
    <w:p w14:paraId="7571027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rPr>
        <w:t>因公出国（境）费</w:t>
      </w:r>
      <w:r>
        <w:rPr>
          <w:rFonts w:hint="eastAsia" w:ascii="Times New Roman" w:hAnsi="Times New Roman" w:eastAsia="仿宋_GB2312" w:cs="Arial"/>
          <w:color w:val="auto"/>
          <w:kern w:val="0"/>
          <w:sz w:val="30"/>
          <w:szCs w:val="30"/>
          <w:highlight w:val="none"/>
          <w:lang w:val="en-US" w:eastAsia="zh-CN"/>
        </w:rPr>
        <w:t>用用</w:t>
      </w:r>
      <w:r>
        <w:rPr>
          <w:rFonts w:hint="eastAsia" w:ascii="Times New Roman" w:hAnsi="Times New Roman" w:eastAsia="仿宋_GB2312" w:cs="Arial"/>
          <w:color w:val="auto"/>
          <w:kern w:val="0"/>
          <w:sz w:val="30"/>
          <w:szCs w:val="30"/>
          <w:highlight w:val="none"/>
        </w:rPr>
        <w:t>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%；公务用车购置费支出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%；公务用车</w:t>
      </w:r>
      <w:r>
        <w:rPr>
          <w:rFonts w:hint="eastAsia" w:ascii="Times New Roman" w:hAnsi="Times New Roman" w:eastAsia="仿宋_GB2312" w:cs="Arial"/>
          <w:color w:val="auto"/>
          <w:kern w:val="0"/>
          <w:sz w:val="30"/>
          <w:szCs w:val="30"/>
          <w:highlight w:val="none"/>
          <w:lang w:eastAsia="zh-CN"/>
        </w:rPr>
        <w:t>运行维护</w:t>
      </w:r>
      <w:r>
        <w:rPr>
          <w:rFonts w:hint="eastAsia" w:ascii="Times New Roman" w:hAnsi="Times New Roman" w:eastAsia="仿宋_GB2312" w:cs="Arial"/>
          <w:color w:val="auto"/>
          <w:kern w:val="0"/>
          <w:sz w:val="30"/>
          <w:szCs w:val="30"/>
          <w:highlight w:val="none"/>
        </w:rPr>
        <w:t>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rPr>
        <w:t>公务接待费支出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，完成年初预算的</w:t>
      </w:r>
      <w:r>
        <w:rPr>
          <w:rFonts w:hint="eastAsia" w:ascii="Times New Roman" w:hAnsi="Times New Roman" w:eastAsia="仿宋_GB2312" w:cs="仿宋_GB2312"/>
          <w:color w:val="auto"/>
          <w:sz w:val="30"/>
          <w:lang w:val="zh-CN"/>
        </w:rPr>
        <w:t>14.92</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olor w:val="auto"/>
          <w:sz w:val="30"/>
          <w:szCs w:val="30"/>
          <w:lang w:eastAsia="zh-CN"/>
        </w:rPr>
        <w:t>。</w:t>
      </w:r>
    </w:p>
    <w:p w14:paraId="56EBE7F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公务用车购置费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公务接待费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lang w:val="en-US"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；具体是国内接待费支出决算</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lang w:eastAsia="zh-CN"/>
        </w:rPr>
        <w:t>元（其中：外事接待费支出决算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lang w:val="en-US"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olor w:val="auto"/>
          <w:sz w:val="30"/>
          <w:szCs w:val="30"/>
          <w:lang w:eastAsia="zh-CN"/>
        </w:rPr>
        <w:t>；</w:t>
      </w:r>
      <w:r>
        <w:rPr>
          <w:rFonts w:hint="eastAsia" w:ascii="Times New Roman" w:hAnsi="Times New Roman" w:eastAsia="仿宋_GB2312" w:cs="Arial"/>
          <w:color w:val="auto"/>
          <w:kern w:val="0"/>
          <w:sz w:val="30"/>
          <w:szCs w:val="30"/>
          <w:highlight w:val="none"/>
          <w:lang w:eastAsia="zh-CN"/>
        </w:rPr>
        <w:t>国（境）外接待费支出决算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p>
    <w:p w14:paraId="33AC69E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color w:val="auto"/>
          <w:kern w:val="0"/>
          <w:sz w:val="30"/>
          <w:szCs w:val="30"/>
          <w:highlight w:val="none"/>
          <w:lang w:val="en-US" w:eastAsia="zh-CN"/>
        </w:rPr>
      </w:pPr>
      <w:r>
        <w:rPr>
          <w:rFonts w:hint="eastAsia" w:ascii="Times New Roman" w:hAnsi="Times New Roman" w:eastAsia="楷体_GB2312" w:cs="楷体_GB2312"/>
          <w:color w:val="auto"/>
          <w:kern w:val="0"/>
          <w:sz w:val="30"/>
          <w:szCs w:val="30"/>
          <w:highlight w:val="none"/>
          <w:lang w:val="en-US" w:eastAsia="zh-CN"/>
        </w:rPr>
        <w:t>（二）一般公共预算财政拨款“三公”经费支出决算情况说明</w:t>
      </w:r>
    </w:p>
    <w:p w14:paraId="1EC30D4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，支出决算为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预算的</w:t>
      </w:r>
      <w:r>
        <w:rPr>
          <w:rFonts w:hint="eastAsia" w:ascii="Times New Roman" w:hAnsi="Times New Roman" w:eastAsia="仿宋_GB2312" w:cs="仿宋_GB2312"/>
          <w:color w:val="auto"/>
          <w:sz w:val="30"/>
          <w:lang w:val="zh-CN"/>
        </w:rPr>
        <w:t>14.92</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lang w:val="en-US"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w:t>
      </w:r>
    </w:p>
    <w:p w14:paraId="65FE6737">
      <w:pPr>
        <w:widowControl/>
        <w:snapToGrid w:val="0"/>
        <w:spacing w:before="100" w:after="100" w:line="360" w:lineRule="auto"/>
        <w:ind w:firstLine="600" w:firstLineChars="200"/>
        <w:jc w:val="left"/>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中：</w:t>
      </w: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olor w:val="auto"/>
          <w:sz w:val="30"/>
          <w:szCs w:val="30"/>
          <w:highlight w:val="none"/>
        </w:rPr>
        <w:t>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；公务用车购置费支出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olor w:val="auto"/>
          <w:sz w:val="30"/>
          <w:szCs w:val="30"/>
          <w:highlight w:val="none"/>
        </w:rPr>
        <w:t>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；公务接待费支出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预算的</w:t>
      </w:r>
      <w:r>
        <w:rPr>
          <w:rFonts w:hint="eastAsia" w:ascii="Times New Roman" w:hAnsi="Times New Roman" w:eastAsia="仿宋_GB2312" w:cs="仿宋_GB2312"/>
          <w:color w:val="auto"/>
          <w:sz w:val="30"/>
          <w:lang w:val="zh-CN"/>
        </w:rPr>
        <w:t>14.92</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一般公共预算财政拨款“三公”经费支出决算数小于</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预算数的主要原因</w:t>
      </w:r>
      <w:r>
        <w:rPr>
          <w:rFonts w:hint="eastAsia" w:ascii="Times New Roman" w:hAnsi="Times New Roman" w:eastAsia="仿宋_GB2312"/>
          <w:color w:val="auto"/>
          <w:sz w:val="30"/>
          <w:szCs w:val="30"/>
          <w:highlight w:val="none"/>
          <w:lang w:eastAsia="zh-CN"/>
        </w:rPr>
        <w:t>是厉行节约，减少公务接待</w:t>
      </w:r>
      <w:r>
        <w:rPr>
          <w:rFonts w:hint="eastAsia" w:ascii="Times New Roman" w:hAnsi="Times New Roman" w:eastAsia="仿宋_GB2312"/>
          <w:color w:val="auto"/>
          <w:sz w:val="30"/>
          <w:szCs w:val="30"/>
          <w:highlight w:val="none"/>
        </w:rPr>
        <w:t>。</w:t>
      </w:r>
    </w:p>
    <w:p w14:paraId="5E762CF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中：</w:t>
      </w: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olor w:val="auto"/>
          <w:sz w:val="30"/>
          <w:szCs w:val="30"/>
          <w:highlight w:val="none"/>
        </w:rPr>
        <w:t>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；公务用车购置费支出决算增加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olor w:val="auto"/>
          <w:sz w:val="30"/>
          <w:szCs w:val="30"/>
          <w:highlight w:val="none"/>
        </w:rPr>
        <w:t>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；公务接待费支出决算增加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具体是国内接待费支出决算</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164.00</w:t>
      </w:r>
      <w:r>
        <w:rPr>
          <w:rFonts w:hint="eastAsia" w:ascii="Times New Roman" w:hAnsi="Times New Roman" w:eastAsia="仿宋_GB2312" w:cs="Arial"/>
          <w:color w:val="auto"/>
          <w:kern w:val="0"/>
          <w:sz w:val="30"/>
          <w:szCs w:val="30"/>
          <w:highlight w:val="none"/>
          <w:lang w:eastAsia="zh-CN"/>
        </w:rPr>
        <w:t>元（其中：外事接待费支出决算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Arial"/>
          <w:color w:val="auto"/>
          <w:kern w:val="0"/>
          <w:sz w:val="30"/>
          <w:szCs w:val="30"/>
          <w:highlight w:val="none"/>
          <w:lang w:val="en-US" w:eastAsia="zh-CN"/>
        </w:rPr>
        <w:t>1,164.00元，增长0.00%</w:t>
      </w:r>
      <w:r>
        <w:rPr>
          <w:rFonts w:hint="eastAsia" w:ascii="Times New Roman" w:hAnsi="Times New Roman" w:eastAsia="仿宋_GB2312"/>
          <w:color w:val="auto"/>
          <w:sz w:val="30"/>
          <w:szCs w:val="30"/>
          <w:lang w:eastAsia="zh-CN"/>
        </w:rPr>
        <w:t>；</w:t>
      </w:r>
      <w:r>
        <w:rPr>
          <w:rFonts w:hint="eastAsia" w:ascii="Times New Roman" w:hAnsi="Times New Roman" w:eastAsia="仿宋_GB2312" w:cs="Arial"/>
          <w:color w:val="auto"/>
          <w:kern w:val="0"/>
          <w:sz w:val="30"/>
          <w:szCs w:val="30"/>
          <w:highlight w:val="none"/>
          <w:lang w:eastAsia="zh-CN"/>
        </w:rPr>
        <w:t>国（境）外接待费支出决算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Arial"/>
          <w:color w:val="auto"/>
          <w:kern w:val="0"/>
          <w:sz w:val="30"/>
          <w:szCs w:val="30"/>
          <w:highlight w:val="none"/>
          <w:lang w:val="en-US" w:eastAsia="zh-CN"/>
        </w:rPr>
        <w:t>0.00元，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一般公共预算财政拨款“三公”经费支出决算增加的主要原因</w:t>
      </w:r>
      <w:r>
        <w:rPr>
          <w:rFonts w:hint="eastAsia" w:ascii="Times New Roman" w:hAnsi="Times New Roman" w:eastAsia="仿宋_GB2312"/>
          <w:color w:val="auto"/>
          <w:sz w:val="30"/>
          <w:szCs w:val="30"/>
          <w:highlight w:val="none"/>
          <w:lang w:eastAsia="zh-CN"/>
        </w:rPr>
        <w:t>是业务工作增加</w:t>
      </w:r>
      <w:r>
        <w:rPr>
          <w:rFonts w:hint="eastAsia" w:ascii="Times New Roman" w:hAnsi="Times New Roman" w:eastAsia="仿宋_GB2312"/>
          <w:color w:val="auto"/>
          <w:sz w:val="30"/>
          <w:szCs w:val="30"/>
          <w:highlight w:val="none"/>
        </w:rPr>
        <w:t>。</w:t>
      </w:r>
    </w:p>
    <w:p w14:paraId="4B6EADF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实物量的</w:t>
      </w:r>
      <w:r>
        <w:rPr>
          <w:rFonts w:hint="eastAsia" w:ascii="Times New Roman" w:hAnsi="Times New Roman" w:eastAsia="仿宋_GB2312"/>
          <w:color w:val="auto"/>
          <w:sz w:val="30"/>
          <w:szCs w:val="30"/>
          <w:highlight w:val="none"/>
        </w:rPr>
        <w:t>具体情况</w:t>
      </w:r>
      <w:r>
        <w:rPr>
          <w:rFonts w:hint="eastAsia" w:ascii="Times New Roman" w:hAnsi="Times New Roman" w:eastAsia="仿宋_GB2312"/>
          <w:color w:val="auto"/>
          <w:sz w:val="30"/>
          <w:szCs w:val="30"/>
          <w:highlight w:val="none"/>
          <w:lang w:eastAsia="zh-CN"/>
        </w:rPr>
        <w:t>：</w:t>
      </w:r>
    </w:p>
    <w:p w14:paraId="685527A4">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rPr>
      </w:pPr>
      <w:r>
        <w:rPr>
          <w:rFonts w:hint="eastAsia" w:ascii="Times New Roman" w:hAnsi="Times New Roman" w:eastAsia="仿宋_GB2312"/>
          <w:b w:val="0"/>
          <w:bCs/>
          <w:color w:val="auto"/>
          <w:sz w:val="30"/>
          <w:szCs w:val="30"/>
          <w:highlight w:val="none"/>
        </w:rPr>
        <w:t>1.安排因公出国（境）团组</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个，累计</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人次。</w:t>
      </w:r>
    </w:p>
    <w:p w14:paraId="566BE767">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rPr>
      </w:pPr>
      <w:r>
        <w:rPr>
          <w:rFonts w:hint="eastAsia" w:ascii="Times New Roman" w:hAnsi="Times New Roman" w:eastAsia="仿宋_GB2312"/>
          <w:b w:val="0"/>
          <w:bCs/>
          <w:color w:val="auto"/>
          <w:sz w:val="30"/>
          <w:szCs w:val="30"/>
          <w:highlight w:val="none"/>
        </w:rPr>
        <w:t>2.购置车辆</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辆。开支一般公共预算财政拨款的公务用车保有量为</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辆。</w:t>
      </w:r>
    </w:p>
    <w:p w14:paraId="1DD69CF5">
      <w:pPr>
        <w:widowControl/>
        <w:snapToGrid w:val="0"/>
        <w:spacing w:before="100" w:after="100" w:line="360" w:lineRule="auto"/>
        <w:ind w:firstLine="600" w:firstLineChars="200"/>
        <w:jc w:val="left"/>
        <w:rPr>
          <w:rFonts w:hint="eastAsia" w:ascii="Times New Roman" w:hAnsi="Times New Roman" w:eastAsia="仿宋_GB2312"/>
          <w:color w:val="auto"/>
          <w:sz w:val="30"/>
          <w:szCs w:val="30"/>
          <w:highlight w:val="none"/>
        </w:rPr>
      </w:pPr>
      <w:r>
        <w:rPr>
          <w:rFonts w:hint="eastAsia" w:ascii="Times New Roman" w:hAnsi="Times New Roman" w:eastAsia="仿宋_GB2312"/>
          <w:b w:val="0"/>
          <w:bCs/>
          <w:color w:val="auto"/>
          <w:sz w:val="30"/>
          <w:szCs w:val="30"/>
          <w:highlight w:val="none"/>
        </w:rPr>
        <w:t>3.安排</w:t>
      </w:r>
      <w:r>
        <w:rPr>
          <w:rFonts w:hint="eastAsia" w:ascii="Times New Roman" w:hAnsi="Times New Roman" w:eastAsia="仿宋_GB2312"/>
          <w:color w:val="auto"/>
          <w:sz w:val="30"/>
          <w:szCs w:val="30"/>
          <w:highlight w:val="none"/>
        </w:rPr>
        <w:t>国内公务接待</w:t>
      </w:r>
      <w:r>
        <w:rPr>
          <w:rFonts w:hint="eastAsia" w:ascii="Times New Roman" w:hAnsi="Times New Roman" w:eastAsia="仿宋_GB2312" w:cs="仿宋_GB2312"/>
          <w:color w:val="auto"/>
          <w:sz w:val="30"/>
          <w:lang w:val="zh-CN"/>
        </w:rPr>
        <w:t>5</w:t>
      </w:r>
      <w:r>
        <w:rPr>
          <w:rFonts w:hint="eastAsia" w:ascii="Times New Roman" w:hAnsi="Times New Roman" w:eastAsia="仿宋_GB2312"/>
          <w:color w:val="auto"/>
          <w:sz w:val="30"/>
          <w:szCs w:val="30"/>
          <w:highlight w:val="none"/>
        </w:rPr>
        <w:t>批次（其中：外事接待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批次），接待人次</w:t>
      </w:r>
      <w:r>
        <w:rPr>
          <w:rFonts w:hint="eastAsia" w:ascii="Times New Roman" w:hAnsi="Times New Roman" w:eastAsia="仿宋_GB2312" w:cs="仿宋_GB2312"/>
          <w:color w:val="auto"/>
          <w:sz w:val="30"/>
          <w:lang w:val="zh-CN"/>
        </w:rPr>
        <w:t>20</w:t>
      </w:r>
      <w:r>
        <w:rPr>
          <w:rFonts w:hint="eastAsia" w:ascii="Times New Roman" w:hAnsi="Times New Roman" w:eastAsia="仿宋_GB2312"/>
          <w:color w:val="auto"/>
          <w:sz w:val="30"/>
          <w:szCs w:val="30"/>
          <w:highlight w:val="none"/>
        </w:rPr>
        <w:t>人（其中：外事接待人次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人）。主要用于</w:t>
      </w:r>
      <w:r>
        <w:rPr>
          <w:rFonts w:hint="eastAsia" w:ascii="Times New Roman" w:hAnsi="Times New Roman" w:eastAsia="仿宋_GB2312" w:cs="Arial"/>
          <w:color w:val="auto"/>
          <w:kern w:val="0"/>
          <w:sz w:val="30"/>
          <w:szCs w:val="30"/>
          <w:highlight w:val="none"/>
        </w:rPr>
        <w:t>农村集体“三资”管理工作</w:t>
      </w:r>
      <w:r>
        <w:rPr>
          <w:rFonts w:hint="eastAsia" w:ascii="Times New Roman" w:hAnsi="Times New Roman" w:eastAsia="仿宋_GB2312" w:cs="Arial"/>
          <w:color w:val="auto"/>
          <w:kern w:val="0"/>
          <w:sz w:val="30"/>
          <w:szCs w:val="30"/>
          <w:highlight w:val="none"/>
          <w:lang w:eastAsia="zh-CN"/>
        </w:rPr>
        <w:t>等</w:t>
      </w:r>
      <w:r>
        <w:rPr>
          <w:rFonts w:hint="eastAsia" w:ascii="Times New Roman" w:hAnsi="Times New Roman" w:eastAsia="仿宋_GB2312"/>
          <w:color w:val="auto"/>
          <w:sz w:val="30"/>
          <w:szCs w:val="30"/>
          <w:highlight w:val="none"/>
        </w:rPr>
        <w:t>发生的接待支出。安排国（境）外公务接待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w:t>
      </w:r>
    </w:p>
    <w:p w14:paraId="7091E46D">
      <w:pPr>
        <w:widowControl/>
        <w:snapToGrid w:val="0"/>
        <w:spacing w:before="100" w:after="100" w:line="360" w:lineRule="auto"/>
        <w:ind w:firstLine="600" w:firstLineChars="200"/>
        <w:jc w:val="left"/>
        <w:outlineLvl w:val="2"/>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（三）需要说明的事项</w:t>
      </w:r>
    </w:p>
    <w:p w14:paraId="77AA925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lang w:eastAsia="zh-CN"/>
        </w:rPr>
        <w:t>不存在需要说明的事项。</w:t>
      </w:r>
    </w:p>
    <w:p w14:paraId="36EFB6A6">
      <w:pPr>
        <w:widowControl/>
        <w:snapToGrid w:val="0"/>
        <w:spacing w:before="100" w:after="100" w:line="360" w:lineRule="auto"/>
        <w:ind w:firstLine="640" w:firstLineChars="200"/>
        <w:jc w:val="left"/>
        <w:outlineLvl w:val="0"/>
        <w:rPr>
          <w:rFonts w:hint="eastAsia" w:ascii="Times New Roman" w:hAnsi="Times New Roman" w:eastAsia="仿宋_GB2312"/>
          <w:color w:val="auto"/>
          <w:sz w:val="32"/>
          <w:szCs w:val="32"/>
          <w:highlight w:val="none"/>
        </w:rPr>
      </w:pPr>
      <w:r>
        <w:rPr>
          <w:rFonts w:hint="eastAsia" w:ascii="Times New Roman" w:hAnsi="Times New Roman" w:eastAsia="黑体" w:cs="方正小标宋简体"/>
          <w:color w:val="auto"/>
          <w:sz w:val="32"/>
          <w:szCs w:val="32"/>
          <w:highlight w:val="none"/>
        </w:rPr>
        <w:t xml:space="preserve">第四部分  </w:t>
      </w:r>
      <w:r>
        <w:rPr>
          <w:rFonts w:hint="eastAsia" w:ascii="Times New Roman" w:hAnsi="Times New Roman" w:eastAsia="黑体"/>
          <w:color w:val="auto"/>
          <w:sz w:val="32"/>
          <w:szCs w:val="32"/>
          <w:highlight w:val="none"/>
        </w:rPr>
        <w:t>其他重要事项及相关口径情况说明</w:t>
      </w:r>
    </w:p>
    <w:p w14:paraId="00A92527">
      <w:pPr>
        <w:ind w:firstLine="600" w:firstLineChars="200"/>
        <w:jc w:val="left"/>
        <w:outlineLvl w:val="1"/>
        <w:rPr>
          <w:rFonts w:hint="eastAsia" w:ascii="Times New Roman" w:hAnsi="Times New Roman" w:eastAsia="黑体" w:cs="黑体"/>
          <w:color w:val="auto"/>
          <w:sz w:val="30"/>
          <w:szCs w:val="30"/>
          <w:highlight w:val="none"/>
        </w:rPr>
      </w:pPr>
      <w:r>
        <w:rPr>
          <w:rFonts w:hint="eastAsia" w:ascii="Times New Roman" w:hAnsi="Times New Roman" w:eastAsia="黑体" w:cs="黑体"/>
          <w:color w:val="auto"/>
          <w:sz w:val="30"/>
          <w:szCs w:val="30"/>
          <w:highlight w:val="none"/>
        </w:rPr>
        <w:t>一</w:t>
      </w:r>
      <w:r>
        <w:rPr>
          <w:rFonts w:hint="eastAsia" w:ascii="Times New Roman" w:hAnsi="Times New Roman" w:eastAsia="黑体" w:cs="黑体"/>
          <w:color w:val="auto"/>
          <w:sz w:val="30"/>
          <w:szCs w:val="30"/>
          <w:highlight w:val="none"/>
          <w:lang w:eastAsia="zh-CN"/>
        </w:rPr>
        <w:t>、</w:t>
      </w:r>
      <w:r>
        <w:rPr>
          <w:rFonts w:hint="eastAsia" w:ascii="Times New Roman" w:hAnsi="Times New Roman" w:eastAsia="黑体" w:cs="黑体"/>
          <w:color w:val="auto"/>
          <w:sz w:val="30"/>
          <w:szCs w:val="30"/>
          <w:highlight w:val="none"/>
        </w:rPr>
        <w:t>机关运行经费支出情况</w:t>
      </w:r>
    </w:p>
    <w:p w14:paraId="32AADC6E">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s="方正小标宋简体"/>
          <w:color w:val="auto"/>
          <w:sz w:val="30"/>
          <w:szCs w:val="30"/>
          <w:highlight w:val="none"/>
          <w:lang w:val="en-US" w:eastAsia="zh-CN"/>
        </w:rPr>
        <w:t>2025</w:t>
      </w:r>
      <w:r>
        <w:rPr>
          <w:rFonts w:hint="eastAsia" w:ascii="Times New Roman" w:hAnsi="Times New Roman" w:eastAsia="仿宋_GB2312" w:cs="方正小标宋简体"/>
          <w:color w:val="auto"/>
          <w:sz w:val="30"/>
          <w:szCs w:val="30"/>
          <w:highlight w:val="none"/>
        </w:rPr>
        <w:t>年机关运行经费支出</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方正小标宋简体"/>
          <w:color w:val="auto"/>
          <w:sz w:val="30"/>
          <w:szCs w:val="30"/>
          <w:highlight w:val="none"/>
          <w:lang w:eastAsia="zh-CN"/>
        </w:rPr>
        <w:t>元</w:t>
      </w:r>
      <w:r>
        <w:rPr>
          <w:rFonts w:hint="eastAsia" w:ascii="Times New Roman" w:hAnsi="Times New Roman" w:eastAsia="仿宋_GB2312" w:cs="方正小标宋简体"/>
          <w:color w:val="auto"/>
          <w:sz w:val="30"/>
          <w:szCs w:val="30"/>
          <w:highlight w:val="none"/>
        </w:rPr>
        <w:t>，</w:t>
      </w:r>
      <w:r>
        <w:rPr>
          <w:rFonts w:hint="eastAsia" w:ascii="Times New Roman" w:hAnsi="Times New Roman" w:eastAsia="仿宋_GB2312" w:cs="方正小标宋简体"/>
          <w:color w:val="auto"/>
          <w:sz w:val="30"/>
          <w:szCs w:val="30"/>
          <w:highlight w:val="none"/>
          <w:lang w:eastAsia="zh-CN"/>
        </w:rPr>
        <w:t>比上年</w:t>
      </w:r>
      <w:r>
        <w:rPr>
          <w:rFonts w:hint="eastAsia" w:ascii="Times New Roman" w:hAnsi="Times New Roman" w:eastAsia="仿宋_GB2312"/>
          <w:color w:val="auto"/>
          <w:sz w:val="30"/>
          <w:szCs w:val="30"/>
          <w:highlight w:val="none"/>
        </w:rPr>
        <w:t>增加</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rPr>
        <w:t>主要原因是华宁县农村经济经营管理站为事业单位，无机关运行经费</w:t>
      </w:r>
      <w:r>
        <w:rPr>
          <w:rFonts w:hint="eastAsia" w:ascii="Times New Roman" w:hAnsi="Times New Roman" w:eastAsia="仿宋_GB2312"/>
          <w:color w:val="auto"/>
          <w:sz w:val="30"/>
          <w:szCs w:val="30"/>
          <w:highlight w:val="none"/>
        </w:rPr>
        <w:t>。</w:t>
      </w:r>
    </w:p>
    <w:p w14:paraId="39A98198">
      <w:pPr>
        <w:widowControl/>
        <w:ind w:firstLine="600" w:firstLineChars="200"/>
        <w:outlineLvl w:val="1"/>
        <w:rPr>
          <w:rFonts w:hint="eastAsia" w:ascii="Times New Roman" w:hAnsi="Times New Roman" w:eastAsia="黑体" w:cs="黑体"/>
          <w:color w:val="auto"/>
          <w:kern w:val="0"/>
          <w:sz w:val="30"/>
          <w:szCs w:val="30"/>
          <w:highlight w:val="none"/>
        </w:rPr>
      </w:pPr>
      <w:r>
        <w:rPr>
          <w:rFonts w:hint="eastAsia" w:ascii="Times New Roman" w:hAnsi="Times New Roman" w:eastAsia="黑体" w:cs="黑体"/>
          <w:color w:val="auto"/>
          <w:kern w:val="0"/>
          <w:sz w:val="30"/>
          <w:szCs w:val="30"/>
          <w:highlight w:val="none"/>
          <w:lang w:eastAsia="zh-CN"/>
        </w:rPr>
        <w:t>二、</w:t>
      </w:r>
      <w:r>
        <w:rPr>
          <w:rFonts w:hint="eastAsia" w:ascii="Times New Roman" w:hAnsi="Times New Roman" w:eastAsia="黑体" w:cs="黑体"/>
          <w:color w:val="auto"/>
          <w:kern w:val="0"/>
          <w:sz w:val="30"/>
          <w:szCs w:val="30"/>
          <w:highlight w:val="none"/>
        </w:rPr>
        <w:t>国有资产占用情况</w:t>
      </w:r>
    </w:p>
    <w:p w14:paraId="116C42B8">
      <w:pPr>
        <w:widowControl/>
        <w:ind w:firstLine="600" w:firstLineChars="200"/>
        <w:rPr>
          <w:rFonts w:hint="eastAsia" w:ascii="Times New Roman" w:hAnsi="Times New Roman" w:eastAsia="仿宋_GB2312" w:cs="方正小标宋简体"/>
          <w:color w:val="auto"/>
          <w:kern w:val="0"/>
          <w:sz w:val="30"/>
          <w:szCs w:val="30"/>
          <w:highlight w:val="none"/>
        </w:rPr>
      </w:pPr>
      <w:r>
        <w:rPr>
          <w:rFonts w:hint="eastAsia" w:ascii="Times New Roman" w:hAnsi="Times New Roman" w:eastAsia="仿宋_GB2312" w:cs="仿宋_GB2312"/>
          <w:color w:val="auto"/>
          <w:sz w:val="30"/>
          <w:szCs w:val="30"/>
          <w:highlight w:val="none"/>
          <w:lang w:eastAsia="zh-CN"/>
        </w:rPr>
        <w:t>截至202</w:t>
      </w:r>
      <w:r>
        <w:rPr>
          <w:rFonts w:hint="eastAsia" w:ascii="Times New Roman" w:hAnsi="Times New Roman" w:eastAsia="仿宋_GB2312" w:cs="仿宋_GB2312"/>
          <w:color w:val="auto"/>
          <w:sz w:val="30"/>
          <w:szCs w:val="30"/>
          <w:highlight w:val="none"/>
          <w:lang w:val="en-US" w:eastAsia="zh-CN"/>
        </w:rPr>
        <w:t>5</w:t>
      </w:r>
      <w:r>
        <w:rPr>
          <w:rFonts w:hint="eastAsia" w:ascii="Times New Roman" w:hAnsi="Times New Roman" w:eastAsia="仿宋_GB2312" w:cs="仿宋_GB2312"/>
          <w:color w:val="auto"/>
          <w:sz w:val="30"/>
          <w:szCs w:val="30"/>
          <w:highlight w:val="none"/>
          <w:lang w:eastAsia="zh-CN"/>
        </w:rPr>
        <w:t>年末，</w:t>
      </w:r>
      <w:r>
        <w:rPr>
          <w:rFonts w:hint="eastAsia" w:ascii="Times New Roman" w:hAnsi="Times New Roman" w:eastAsia="仿宋_GB2312" w:cs="仿宋_GB2312"/>
          <w:color w:val="auto"/>
          <w:sz w:val="30"/>
          <w:lang w:val="zh-CN"/>
        </w:rPr>
        <w:t>华宁县农村经济经营管理站</w:t>
      </w:r>
      <w:r>
        <w:rPr>
          <w:rFonts w:hint="eastAsia" w:ascii="Times New Roman" w:hAnsi="Times New Roman" w:eastAsia="仿宋_GB2312" w:cs="仿宋_GB2312"/>
          <w:color w:val="auto"/>
          <w:sz w:val="30"/>
          <w:szCs w:val="30"/>
          <w:highlight w:val="none"/>
          <w:lang w:eastAsia="zh-CN"/>
        </w:rPr>
        <w:t>资产总额</w:t>
      </w:r>
      <w:r>
        <w:rPr>
          <w:rFonts w:hint="eastAsia" w:ascii="Times New Roman" w:hAnsi="Times New Roman" w:eastAsia="仿宋_GB2312" w:cs="仿宋_GB2312"/>
          <w:color w:val="auto"/>
          <w:sz w:val="30"/>
          <w:szCs w:val="30"/>
          <w:highlight w:val="none"/>
          <w:lang w:val="en-US" w:eastAsia="zh-CN"/>
        </w:rPr>
        <w:t>267,617.72</w:t>
      </w:r>
      <w:r>
        <w:rPr>
          <w:rFonts w:hint="eastAsia" w:ascii="Times New Roman" w:hAnsi="Times New Roman" w:eastAsia="仿宋_GB2312" w:cs="仿宋_GB2312"/>
          <w:color w:val="auto"/>
          <w:sz w:val="30"/>
          <w:szCs w:val="30"/>
          <w:highlight w:val="none"/>
          <w:lang w:eastAsia="zh-CN"/>
        </w:rPr>
        <w:t>元，其中，流动资产</w:t>
      </w:r>
      <w:r>
        <w:rPr>
          <w:rFonts w:hint="eastAsia" w:ascii="Times New Roman" w:hAnsi="Times New Roman" w:eastAsia="仿宋_GB2312" w:cs="仿宋_GB2312"/>
          <w:color w:val="auto"/>
          <w:sz w:val="30"/>
          <w:szCs w:val="30"/>
          <w:highlight w:val="none"/>
          <w:lang w:val="en-US" w:eastAsia="zh-CN"/>
        </w:rPr>
        <w:t>241,301.05</w:t>
      </w:r>
      <w:r>
        <w:rPr>
          <w:rFonts w:hint="eastAsia" w:ascii="Times New Roman" w:hAnsi="Times New Roman" w:eastAsia="仿宋_GB2312" w:cs="仿宋_GB2312"/>
          <w:color w:val="auto"/>
          <w:sz w:val="30"/>
          <w:szCs w:val="30"/>
          <w:highlight w:val="none"/>
          <w:lang w:eastAsia="zh-CN"/>
        </w:rPr>
        <w:t>元，固定资产</w:t>
      </w:r>
      <w:r>
        <w:rPr>
          <w:rFonts w:hint="eastAsia" w:ascii="Times New Roman" w:hAnsi="Times New Roman" w:eastAsia="仿宋_GB2312" w:cs="仿宋_GB2312"/>
          <w:color w:val="auto"/>
          <w:sz w:val="30"/>
          <w:szCs w:val="30"/>
          <w:highlight w:val="none"/>
          <w:lang w:val="en-US" w:eastAsia="zh-CN"/>
        </w:rPr>
        <w:t>368,749.20</w:t>
      </w:r>
      <w:r>
        <w:rPr>
          <w:rFonts w:hint="eastAsia" w:ascii="Times New Roman" w:hAnsi="Times New Roman" w:eastAsia="仿宋_GB2312" w:cs="仿宋_GB2312"/>
          <w:color w:val="auto"/>
          <w:sz w:val="30"/>
          <w:szCs w:val="30"/>
          <w:highlight w:val="none"/>
          <w:lang w:eastAsia="zh-CN"/>
        </w:rPr>
        <w:t>元（净值），对外投资及有价证券</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元，在建工程</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元，无形资产</w:t>
      </w:r>
      <w:r>
        <w:rPr>
          <w:rFonts w:hint="eastAsia" w:ascii="Times New Roman" w:hAnsi="Times New Roman" w:eastAsia="仿宋_GB2312" w:cs="仿宋_GB2312"/>
          <w:color w:val="auto"/>
          <w:sz w:val="30"/>
          <w:szCs w:val="30"/>
          <w:highlight w:val="none"/>
          <w:lang w:val="en-US" w:eastAsia="zh-CN"/>
        </w:rPr>
        <w:t>1,464,046.55</w:t>
      </w:r>
      <w:r>
        <w:rPr>
          <w:rFonts w:hint="eastAsia" w:ascii="Times New Roman" w:hAnsi="Times New Roman" w:eastAsia="仿宋_GB2312" w:cs="仿宋_GB2312"/>
          <w:color w:val="auto"/>
          <w:sz w:val="30"/>
          <w:szCs w:val="30"/>
          <w:highlight w:val="none"/>
          <w:lang w:eastAsia="zh-CN"/>
        </w:rPr>
        <w:t>元（净值），其他资产</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元（净值）（具体内容详见附表）</w:t>
      </w:r>
      <w:r>
        <w:rPr>
          <w:rFonts w:hint="eastAsia" w:ascii="Times New Roman" w:hAnsi="Times New Roman" w:eastAsia="仿宋_GB2312" w:cs="方正小标宋简体"/>
          <w:color w:val="auto"/>
          <w:kern w:val="0"/>
          <w:sz w:val="30"/>
          <w:szCs w:val="30"/>
          <w:highlight w:val="none"/>
        </w:rPr>
        <w:t>。与上年相比，本年资产总额减少</w:t>
      </w:r>
      <w:r>
        <w:rPr>
          <w:rFonts w:hint="eastAsia" w:ascii="Times New Roman" w:hAnsi="Times New Roman" w:eastAsia="仿宋_GB2312" w:cs="方正小标宋简体"/>
          <w:color w:val="auto"/>
          <w:kern w:val="0"/>
          <w:sz w:val="30"/>
          <w:szCs w:val="30"/>
          <w:highlight w:val="none"/>
          <w:lang w:val="en-US" w:eastAsia="zh-CN"/>
        </w:rPr>
        <w:t>21,138.30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，其中固定资产增加</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。处置房屋建筑物</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rPr>
        <w:t>平方米，账面原值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；处置车辆</w:t>
      </w:r>
      <w:r>
        <w:rPr>
          <w:rFonts w:hint="eastAsia" w:ascii="Times New Roman" w:hAnsi="Times New Roman" w:eastAsia="仿宋_GB2312" w:cs="方正小标宋简体"/>
          <w:color w:val="auto"/>
          <w:kern w:val="0"/>
          <w:sz w:val="30"/>
          <w:szCs w:val="30"/>
          <w:highlight w:val="none"/>
          <w:lang w:val="en-US" w:eastAsia="zh-CN"/>
        </w:rPr>
        <w:t>0</w:t>
      </w:r>
      <w:r>
        <w:rPr>
          <w:rFonts w:hint="eastAsia" w:ascii="Times New Roman" w:hAnsi="Times New Roman" w:eastAsia="仿宋_GB2312" w:cs="方正小标宋简体"/>
          <w:color w:val="auto"/>
          <w:kern w:val="0"/>
          <w:sz w:val="30"/>
          <w:szCs w:val="30"/>
          <w:highlight w:val="none"/>
        </w:rPr>
        <w:t>辆，账面原值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；报废报损资产</w:t>
      </w:r>
      <w:r>
        <w:rPr>
          <w:rFonts w:hint="eastAsia" w:ascii="Times New Roman" w:hAnsi="Times New Roman" w:eastAsia="仿宋_GB2312" w:cs="方正小标宋简体"/>
          <w:color w:val="auto"/>
          <w:kern w:val="0"/>
          <w:sz w:val="30"/>
          <w:szCs w:val="30"/>
          <w:highlight w:val="none"/>
          <w:lang w:val="en-US" w:eastAsia="zh-CN"/>
        </w:rPr>
        <w:t>0</w:t>
      </w:r>
      <w:r>
        <w:rPr>
          <w:rFonts w:hint="eastAsia" w:ascii="Times New Roman" w:hAnsi="Times New Roman" w:eastAsia="仿宋_GB2312" w:cs="方正小标宋简体"/>
          <w:color w:val="auto"/>
          <w:kern w:val="0"/>
          <w:sz w:val="30"/>
          <w:szCs w:val="30"/>
          <w:highlight w:val="none"/>
        </w:rPr>
        <w:t>项，账面原值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，实现资产处置收入</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；出租房屋</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rPr>
        <w:t>平方米，账面原值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，实现资产使用收入</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w:t>
      </w:r>
    </w:p>
    <w:p w14:paraId="67614BEE">
      <w:pPr>
        <w:widowControl/>
        <w:ind w:firstLine="600" w:firstLineChars="200"/>
        <w:rPr>
          <w:rFonts w:hint="eastAsia" w:ascii="Times New Roman" w:hAnsi="Times New Roman" w:eastAsia="仿宋_GB2312" w:cs="方正小标宋简体"/>
          <w:color w:val="auto"/>
          <w:kern w:val="0"/>
          <w:sz w:val="30"/>
          <w:szCs w:val="30"/>
          <w:highlight w:val="none"/>
          <w:lang w:eastAsia="zh-CN"/>
        </w:rPr>
      </w:pPr>
      <w:r>
        <w:rPr>
          <w:rFonts w:hint="eastAsia" w:ascii="Times New Roman" w:hAnsi="Times New Roman" w:eastAsia="仿宋_GB2312" w:cs="方正小标宋简体"/>
          <w:color w:val="auto"/>
          <w:kern w:val="0"/>
          <w:sz w:val="30"/>
          <w:szCs w:val="30"/>
          <w:highlight w:val="none"/>
          <w:lang w:eastAsia="zh-CN"/>
        </w:rPr>
        <w:t>（</w:t>
      </w:r>
      <w:r>
        <w:rPr>
          <w:rFonts w:hint="eastAsia" w:ascii="Times New Roman" w:hAnsi="Times New Roman" w:eastAsia="仿宋_GB2312" w:cs="方正小标宋简体"/>
          <w:color w:val="auto"/>
          <w:kern w:val="0"/>
          <w:sz w:val="30"/>
          <w:szCs w:val="30"/>
          <w:highlight w:val="none"/>
        </w:rPr>
        <w:t>国有资产占有使用情况表</w:t>
      </w:r>
      <w:r>
        <w:rPr>
          <w:rFonts w:hint="eastAsia" w:ascii="Times New Roman" w:hAnsi="Times New Roman" w:eastAsia="仿宋_GB2312" w:cs="方正小标宋简体"/>
          <w:color w:val="auto"/>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5221FB36">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2306212B">
            <w:pPr>
              <w:widowControl/>
              <w:jc w:val="left"/>
              <w:rPr>
                <w:rFonts w:ascii="Times New Roman" w:hAnsi="Times New Roman" w:cs="宋体"/>
                <w:color w:val="auto"/>
                <w:kern w:val="0"/>
                <w:sz w:val="17"/>
                <w:szCs w:val="17"/>
                <w:highlight w:val="none"/>
              </w:rPr>
            </w:pPr>
          </w:p>
        </w:tc>
      </w:tr>
      <w:tr w14:paraId="399B2236">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7C4F1059">
            <w:pPr>
              <w:widowControl/>
              <w:jc w:val="left"/>
              <w:rPr>
                <w:rFonts w:ascii="Times New Roman" w:hAnsi="Times New Roman" w:cs="宋体"/>
                <w:color w:val="auto"/>
                <w:kern w:val="0"/>
                <w:sz w:val="17"/>
                <w:szCs w:val="17"/>
                <w:highlight w:val="none"/>
              </w:rPr>
            </w:pPr>
          </w:p>
        </w:tc>
      </w:tr>
      <w:tr w14:paraId="1858B9BE">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6C551BE5">
            <w:pPr>
              <w:widowControl/>
              <w:jc w:val="left"/>
              <w:rPr>
                <w:rFonts w:ascii="Times New Roman" w:hAnsi="Times New Roman" w:cs="宋体"/>
                <w:color w:val="auto"/>
                <w:kern w:val="0"/>
                <w:sz w:val="17"/>
                <w:szCs w:val="17"/>
                <w:highlight w:val="none"/>
              </w:rPr>
            </w:pPr>
          </w:p>
        </w:tc>
      </w:tr>
      <w:tr w14:paraId="70A7AAAF">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3D3C8514">
            <w:pPr>
              <w:widowControl/>
              <w:jc w:val="left"/>
              <w:rPr>
                <w:rFonts w:ascii="Times New Roman" w:hAnsi="Times New Roman" w:cs="宋体"/>
                <w:color w:val="auto"/>
                <w:kern w:val="0"/>
                <w:sz w:val="17"/>
                <w:szCs w:val="17"/>
                <w:highlight w:val="none"/>
              </w:rPr>
            </w:pPr>
          </w:p>
        </w:tc>
      </w:tr>
      <w:tr w14:paraId="535F0F1C">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2A035E76">
            <w:pPr>
              <w:widowControl/>
              <w:jc w:val="left"/>
              <w:rPr>
                <w:rFonts w:ascii="Times New Roman" w:hAnsi="Times New Roman" w:cs="宋体"/>
                <w:color w:val="auto"/>
                <w:kern w:val="0"/>
                <w:sz w:val="17"/>
                <w:szCs w:val="17"/>
                <w:highlight w:val="none"/>
              </w:rPr>
            </w:pPr>
          </w:p>
        </w:tc>
      </w:tr>
      <w:tr w14:paraId="3975E6C1">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C8C1A7C">
            <w:pPr>
              <w:widowControl/>
              <w:jc w:val="left"/>
              <w:rPr>
                <w:rFonts w:ascii="Times New Roman" w:hAnsi="Times New Roman" w:cs="宋体"/>
                <w:color w:val="auto"/>
                <w:kern w:val="0"/>
                <w:sz w:val="17"/>
                <w:szCs w:val="17"/>
                <w:highlight w:val="none"/>
              </w:rPr>
            </w:pPr>
          </w:p>
        </w:tc>
      </w:tr>
      <w:tr w14:paraId="0FA9AE56">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46E1D31E">
            <w:pPr>
              <w:widowControl/>
              <w:jc w:val="left"/>
              <w:rPr>
                <w:rFonts w:ascii="Times New Roman" w:hAnsi="Times New Roman" w:cs="宋体"/>
                <w:color w:val="auto"/>
                <w:kern w:val="0"/>
                <w:sz w:val="17"/>
                <w:szCs w:val="17"/>
                <w:highlight w:val="none"/>
              </w:rPr>
            </w:pPr>
          </w:p>
        </w:tc>
      </w:tr>
      <w:tr w14:paraId="291E80F1">
        <w:tblPrEx>
          <w:tblCellMar>
            <w:top w:w="0" w:type="dxa"/>
            <w:left w:w="0" w:type="dxa"/>
            <w:bottom w:w="0" w:type="dxa"/>
            <w:right w:w="0" w:type="dxa"/>
          </w:tblCellMar>
        </w:tblPrEx>
        <w:trPr>
          <w:trHeight w:val="495" w:hRule="atLeast"/>
        </w:trPr>
        <w:tc>
          <w:tcPr>
            <w:tcW w:w="142" w:type="dxa"/>
            <w:noWrap w:val="0"/>
            <w:vAlign w:val="center"/>
          </w:tcPr>
          <w:p w14:paraId="341CCE6B">
            <w:pPr>
              <w:widowControl/>
              <w:jc w:val="left"/>
              <w:rPr>
                <w:rFonts w:ascii="Times New Roman" w:hAnsi="Times New Roman" w:eastAsia="Times New Roman"/>
                <w:color w:val="auto"/>
                <w:kern w:val="0"/>
                <w:sz w:val="20"/>
                <w:szCs w:val="20"/>
                <w:highlight w:val="none"/>
              </w:rPr>
            </w:pPr>
          </w:p>
        </w:tc>
      </w:tr>
    </w:tbl>
    <w:p w14:paraId="7D9357B7">
      <w:pPr>
        <w:ind w:firstLine="600" w:firstLineChars="200"/>
        <w:jc w:val="left"/>
        <w:outlineLvl w:val="1"/>
        <w:rPr>
          <w:rFonts w:hint="eastAsia" w:ascii="Times New Roman" w:hAnsi="Times New Roman" w:eastAsia="黑体" w:cs="黑体"/>
          <w:color w:val="auto"/>
          <w:sz w:val="30"/>
          <w:szCs w:val="30"/>
          <w:highlight w:val="none"/>
        </w:rPr>
      </w:pPr>
      <w:r>
        <w:rPr>
          <w:rFonts w:hint="eastAsia" w:ascii="Times New Roman" w:hAnsi="Times New Roman" w:eastAsia="黑体" w:cs="黑体"/>
          <w:color w:val="auto"/>
          <w:sz w:val="30"/>
          <w:szCs w:val="30"/>
          <w:highlight w:val="none"/>
          <w:lang w:eastAsia="zh-CN"/>
        </w:rPr>
        <w:t>三、政</w:t>
      </w:r>
      <w:r>
        <w:rPr>
          <w:rFonts w:hint="eastAsia" w:ascii="Times New Roman" w:hAnsi="Times New Roman" w:eastAsia="黑体" w:cs="黑体"/>
          <w:color w:val="auto"/>
          <w:sz w:val="30"/>
          <w:szCs w:val="30"/>
          <w:highlight w:val="none"/>
        </w:rPr>
        <w:t>府采购支出情况</w:t>
      </w:r>
    </w:p>
    <w:p w14:paraId="0D649B80">
      <w:pPr>
        <w:ind w:firstLine="600" w:firstLineChars="200"/>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2025年度，单位政府采购支出总额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元，其中：政府采购货物支出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元；政府采购工程支出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元；政府采购服务支出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元。授予中小企业合同金额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元，其中：授予小微企业合同金额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w:t>
      </w:r>
    </w:p>
    <w:p w14:paraId="6FA4BC78">
      <w:pPr>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四、单位绩效自评情况</w:t>
      </w:r>
    </w:p>
    <w:p w14:paraId="069F4936">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firstLineChars="200"/>
        <w:jc w:val="left"/>
        <w:textAlignment w:val="auto"/>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项目支出绩效自评详见公开表GK</w:t>
      </w:r>
      <w:r>
        <w:rPr>
          <w:rFonts w:hint="eastAsia" w:ascii="Times New Roman" w:hAnsi="Times New Roman" w:eastAsia="仿宋_GB2312" w:cs="Times New Roman"/>
          <w:color w:val="auto"/>
          <w:sz w:val="30"/>
          <w:lang w:val="en-US" w:eastAsia="zh-CN"/>
        </w:rPr>
        <w:t>13</w:t>
      </w:r>
      <w:r>
        <w:rPr>
          <w:rFonts w:hint="eastAsia" w:ascii="Times New Roman" w:hAnsi="Times New Roman" w:eastAsia="仿宋_GB2312" w:cs="仿宋_GB2312"/>
          <w:color w:val="auto"/>
          <w:sz w:val="30"/>
          <w:szCs w:val="30"/>
          <w:highlight w:val="none"/>
          <w:lang w:val="en-US" w:eastAsia="zh-CN"/>
        </w:rPr>
        <w:t>表。</w:t>
      </w:r>
    </w:p>
    <w:p w14:paraId="1053C00C">
      <w:pPr>
        <w:widowControl/>
        <w:snapToGrid w:val="0"/>
        <w:spacing w:before="100" w:after="100" w:line="360" w:lineRule="auto"/>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五、其他重要事项情况说明</w:t>
      </w:r>
    </w:p>
    <w:p w14:paraId="6D61679B">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仿宋_GB2312"/>
          <w:color w:val="auto"/>
          <w:sz w:val="30"/>
          <w:szCs w:val="30"/>
          <w:highlight w:val="none"/>
          <w:lang w:val="en-US" w:eastAsia="zh-CN"/>
        </w:rPr>
        <w:t>无其他重要事项说明。</w:t>
      </w:r>
    </w:p>
    <w:p w14:paraId="46D3D8C5">
      <w:pPr>
        <w:widowControl/>
        <w:snapToGrid w:val="0"/>
        <w:spacing w:before="100" w:after="100" w:line="360" w:lineRule="auto"/>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六、相关口径说明</w:t>
      </w:r>
    </w:p>
    <w:p w14:paraId="3D51B464">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（一）</w:t>
      </w:r>
      <w:r>
        <w:rPr>
          <w:rFonts w:hint="eastAsia" w:ascii="Times New Roman" w:hAnsi="Times New Roman" w:eastAsia="仿宋_GB2312" w:cs="方正小标宋简体"/>
          <w:color w:val="auto"/>
          <w:sz w:val="30"/>
          <w:szCs w:val="30"/>
          <w:highlight w:val="none"/>
        </w:rPr>
        <w:t>基本支出中人员经费包括工资福利支出和对个人和家庭的补助，公用</w:t>
      </w:r>
      <w:r>
        <w:rPr>
          <w:rFonts w:hint="eastAsia" w:ascii="Times New Roman" w:hAnsi="Times New Roman" w:eastAsia="仿宋_GB2312" w:cs="方正小标宋简体"/>
          <w:color w:val="auto"/>
          <w:sz w:val="30"/>
          <w:szCs w:val="30"/>
          <w:highlight w:val="none"/>
          <w:lang w:eastAsia="zh-CN"/>
        </w:rPr>
        <w:t>经费</w:t>
      </w:r>
      <w:r>
        <w:rPr>
          <w:rFonts w:hint="eastAsia" w:ascii="Times New Roman" w:hAnsi="Times New Roman" w:eastAsia="仿宋_GB2312" w:cs="方正小标宋简体"/>
          <w:color w:val="auto"/>
          <w:sz w:val="30"/>
          <w:szCs w:val="30"/>
          <w:highlight w:val="none"/>
        </w:rPr>
        <w:t>包括商品和服务支出、资本性支出等人员经费以外的支出。</w:t>
      </w:r>
    </w:p>
    <w:p w14:paraId="499467F9">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（二）</w:t>
      </w:r>
      <w:r>
        <w:rPr>
          <w:rFonts w:hint="eastAsia" w:ascii="Times New Roman" w:hAnsi="Times New Roman"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仿宋_GB2312" w:cs="方正小标宋简体"/>
          <w:color w:val="auto"/>
          <w:sz w:val="30"/>
          <w:szCs w:val="30"/>
          <w:highlight w:val="none"/>
          <w:lang w:eastAsia="zh-CN"/>
        </w:rPr>
        <w:t>。</w:t>
      </w:r>
    </w:p>
    <w:p w14:paraId="189F1385">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方正小标宋简体"/>
          <w:color w:val="auto"/>
          <w:sz w:val="30"/>
          <w:szCs w:val="30"/>
          <w:highlight w:val="none"/>
          <w:lang w:eastAsia="zh-CN"/>
        </w:rPr>
        <w:t>（三）</w:t>
      </w:r>
      <w:r>
        <w:rPr>
          <w:rFonts w:hint="eastAsia" w:ascii="Times New Roman" w:hAnsi="Times New Roman" w:eastAsia="仿宋_GB2312" w:cs="方正小标宋简体"/>
          <w:color w:val="auto"/>
          <w:sz w:val="30"/>
          <w:szCs w:val="30"/>
          <w:highlight w:val="none"/>
        </w:rPr>
        <w:t>按照党中央、国务院有关文件及部门预算管理有关规定，“三公”经费包括因公出国（境）费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、公务用车购置及运行维护费、公务接待费。其中：因公出国（境）费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仿宋_GB2312" w:cs="方正小标宋简体"/>
          <w:color w:val="auto"/>
          <w:sz w:val="30"/>
          <w:szCs w:val="30"/>
          <w:highlight w:val="none"/>
          <w:lang w:eastAsia="zh-CN"/>
        </w:rPr>
        <w:t>、牌照费</w:t>
      </w:r>
      <w:r>
        <w:rPr>
          <w:rFonts w:hint="eastAsia" w:ascii="Times New Roman" w:hAnsi="Times New Roman"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1B6D81C5">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（四）本文所称财政拨款</w:t>
      </w:r>
      <w:r>
        <w:rPr>
          <w:rFonts w:hint="eastAsia" w:ascii="Times New Roman" w:hAnsi="Times New Roman" w:eastAsia="仿宋_GB2312" w:cs="方正小标宋简体"/>
          <w:color w:val="auto"/>
          <w:sz w:val="30"/>
          <w:szCs w:val="30"/>
          <w:highlight w:val="none"/>
        </w:rPr>
        <w:t>“三公”经费决算数</w:t>
      </w:r>
      <w:r>
        <w:rPr>
          <w:rFonts w:hint="eastAsia" w:ascii="Times New Roman" w:hAnsi="Times New Roman" w:eastAsia="仿宋_GB2312" w:cs="方正小标宋简体"/>
          <w:color w:val="auto"/>
          <w:sz w:val="30"/>
          <w:szCs w:val="30"/>
          <w:highlight w:val="none"/>
          <w:lang w:eastAsia="zh-CN"/>
        </w:rPr>
        <w:t>是</w:t>
      </w:r>
      <w:r>
        <w:rPr>
          <w:rFonts w:hint="eastAsia" w:ascii="Times New Roman" w:hAnsi="Times New Roman" w:eastAsia="仿宋_GB2312" w:cs="方正小标宋简体"/>
          <w:color w:val="auto"/>
          <w:sz w:val="30"/>
          <w:szCs w:val="30"/>
          <w:highlight w:val="none"/>
        </w:rPr>
        <w:t>指各部门（含下属单位）</w:t>
      </w:r>
      <w:r>
        <w:rPr>
          <w:rFonts w:hint="eastAsia" w:ascii="Times New Roman" w:hAnsi="Times New Roman" w:eastAsia="仿宋_GB2312" w:cs="方正小标宋简体"/>
          <w:color w:val="auto"/>
          <w:sz w:val="30"/>
          <w:szCs w:val="30"/>
          <w:highlight w:val="none"/>
          <w:lang w:eastAsia="zh-CN"/>
        </w:rPr>
        <w:t>或单位</w:t>
      </w:r>
      <w:r>
        <w:rPr>
          <w:rFonts w:hint="eastAsia" w:ascii="Times New Roman" w:hAnsi="Times New Roman" w:eastAsia="仿宋_GB2312" w:cs="方正小标宋简体"/>
          <w:color w:val="auto"/>
          <w:sz w:val="30"/>
          <w:szCs w:val="30"/>
          <w:highlight w:val="none"/>
        </w:rPr>
        <w:t>当年通过本级财政拨款和以前年度财政拨款结转结余资金安排的因公出国（境）费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、公务用车购置及运行维护费和公务接待费支出数（包括基本支出和项目支出）。</w:t>
      </w:r>
    </w:p>
    <w:p w14:paraId="159C269B">
      <w:pPr>
        <w:jc w:val="center"/>
        <w:outlineLvl w:val="0"/>
        <w:rPr>
          <w:rFonts w:hint="eastAsia" w:ascii="Times New Roman" w:hAnsi="Times New Roman" w:eastAsia="黑体" w:cs="方正小标宋简体"/>
          <w:color w:val="auto"/>
          <w:sz w:val="32"/>
          <w:szCs w:val="32"/>
          <w:highlight w:val="none"/>
        </w:rPr>
      </w:pPr>
      <w:r>
        <w:rPr>
          <w:rFonts w:hint="eastAsia" w:ascii="Times New Roman" w:hAnsi="Times New Roman" w:eastAsia="黑体" w:cs="方正小标宋简体"/>
          <w:color w:val="auto"/>
          <w:sz w:val="32"/>
          <w:szCs w:val="32"/>
          <w:highlight w:val="none"/>
        </w:rPr>
        <w:t>第</w:t>
      </w:r>
      <w:r>
        <w:rPr>
          <w:rFonts w:hint="eastAsia" w:ascii="Times New Roman" w:hAnsi="Times New Roman" w:eastAsia="黑体" w:cs="方正小标宋简体"/>
          <w:color w:val="auto"/>
          <w:sz w:val="32"/>
          <w:szCs w:val="32"/>
          <w:highlight w:val="none"/>
          <w:lang w:eastAsia="zh-CN"/>
        </w:rPr>
        <w:t>五</w:t>
      </w:r>
      <w:r>
        <w:rPr>
          <w:rFonts w:hint="eastAsia" w:ascii="Times New Roman" w:hAnsi="Times New Roman" w:eastAsia="黑体" w:cs="方正小标宋简体"/>
          <w:color w:val="auto"/>
          <w:sz w:val="32"/>
          <w:szCs w:val="32"/>
          <w:highlight w:val="none"/>
        </w:rPr>
        <w:t>部分  名词解释</w:t>
      </w:r>
    </w:p>
    <w:p w14:paraId="421E4FD4">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19300D76">
      <w:pPr>
        <w:rPr>
          <w:rFonts w:ascii="Times New Roman" w:hAnsi="Times New Roman"/>
          <w:color w:val="auto"/>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A1FB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C4F54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45C4F54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BC25E">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0A1412B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983B7">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FD0636"/>
    <w:rsid w:val="32E621C2"/>
    <w:rsid w:val="499172A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909fc0-11d1-465e-b764-aab406853fd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14</Pages>
  <Words>280</Words>
  <Characters>289</Characters>
  <Lines>0</Lines>
  <Paragraphs>0</Paragraphs>
  <TotalTime>20</TotalTime>
  <ScaleCrop>false</ScaleCrop>
  <LinksUpToDate>false</LinksUpToDate>
  <CharactersWithSpaces>295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梦想成为咸鱼</cp:lastModifiedBy>
  <cp:lastPrinted>2024-07-30T06:24:00Z</cp:lastPrinted>
  <dcterms:modified xsi:type="dcterms:W3CDTF">2026-10-16T03:34:06Z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D45296F7F2444F3C8CDB43DA2E9FADD3</vt:lpwstr>
  </property>
  <property fmtid="{D5CDD505-2E9C-101B-9397-08002B2CF9AE}" pid="4" name="KSOTemplateDocerSaveRecord">
    <vt:lpwstr>eyJoZGlkIjoiNmQ3YjhkMWYyMjk3OWExNTMxNmYwMjQ5MTE0NzdhZDkiLCJ1c2VySWQiOiIzMDU3MzQ1OTEifQ==</vt:lpwstr>
  </property>
</Properties>
</file>