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B54FC">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华宁县乡村产业发展中心</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6CAC2B90">
      <w:pPr>
        <w:jc w:val="center"/>
        <w:rPr>
          <w:rFonts w:hint="eastAsia" w:ascii="方正小标宋简体" w:hAnsi="方正小标宋简体" w:eastAsia="方正小标宋简体" w:cs="方正小标宋简体"/>
          <w:sz w:val="36"/>
          <w:szCs w:val="36"/>
          <w:highlight w:val="none"/>
        </w:rPr>
      </w:pPr>
    </w:p>
    <w:p w14:paraId="45CAD7C4">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6307EFB0">
      <w:pPr>
        <w:jc w:val="left"/>
        <w:rPr>
          <w:rFonts w:hint="eastAsia" w:ascii="黑体" w:hAnsi="黑体" w:eastAsia="黑体"/>
          <w:sz w:val="30"/>
          <w:szCs w:val="30"/>
          <w:highlight w:val="none"/>
        </w:rPr>
      </w:pPr>
    </w:p>
    <w:p w14:paraId="7292FBE7">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43FE07DA">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047DE1A5">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3B6CCBF3">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7534ED9">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797112D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7377193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2230136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501CCC9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786164E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084E8D2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73ABF14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2EFE4A6C">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4ABA503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48AD53A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5B7827DB">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0D2687F3">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3F5EA0C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6A060432">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5B6EAAE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3BBE30C4">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282FFB1E">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3F56AB64">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546530F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00B43255">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412A22D4">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2604957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378BCEDF">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79109BBC">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2E033F63">
      <w:pPr>
        <w:jc w:val="center"/>
        <w:rPr>
          <w:rFonts w:hint="eastAsia" w:ascii="黑体" w:hAnsi="黑体" w:eastAsia="黑体"/>
          <w:sz w:val="32"/>
          <w:szCs w:val="32"/>
          <w:highlight w:val="none"/>
        </w:rPr>
      </w:pPr>
    </w:p>
    <w:p w14:paraId="6A0AC8E7">
      <w:pPr>
        <w:jc w:val="center"/>
        <w:rPr>
          <w:rFonts w:hint="eastAsia" w:ascii="黑体" w:hAnsi="黑体" w:eastAsia="黑体"/>
          <w:sz w:val="32"/>
          <w:szCs w:val="32"/>
          <w:highlight w:val="none"/>
        </w:rPr>
      </w:pPr>
    </w:p>
    <w:p w14:paraId="30B27488">
      <w:pPr>
        <w:jc w:val="center"/>
        <w:rPr>
          <w:rFonts w:hint="eastAsia" w:ascii="黑体" w:hAnsi="黑体" w:eastAsia="黑体"/>
          <w:sz w:val="32"/>
          <w:szCs w:val="32"/>
          <w:highlight w:val="none"/>
        </w:rPr>
      </w:pPr>
    </w:p>
    <w:p w14:paraId="3BD5166C">
      <w:pPr>
        <w:jc w:val="center"/>
        <w:rPr>
          <w:rFonts w:hint="eastAsia" w:ascii="黑体" w:hAnsi="黑体" w:eastAsia="黑体"/>
          <w:sz w:val="32"/>
          <w:szCs w:val="32"/>
          <w:highlight w:val="none"/>
        </w:rPr>
      </w:pPr>
    </w:p>
    <w:p w14:paraId="7564E932">
      <w:pPr>
        <w:jc w:val="center"/>
        <w:rPr>
          <w:rFonts w:hint="eastAsia" w:ascii="黑体" w:hAnsi="黑体" w:eastAsia="黑体"/>
          <w:sz w:val="32"/>
          <w:szCs w:val="32"/>
          <w:highlight w:val="none"/>
        </w:rPr>
      </w:pPr>
    </w:p>
    <w:p w14:paraId="4C0649BC">
      <w:pPr>
        <w:jc w:val="center"/>
        <w:rPr>
          <w:rFonts w:hint="eastAsia" w:ascii="黑体" w:hAnsi="黑体" w:eastAsia="黑体"/>
          <w:sz w:val="32"/>
          <w:szCs w:val="32"/>
          <w:highlight w:val="none"/>
        </w:rPr>
      </w:pPr>
    </w:p>
    <w:p w14:paraId="4D67FBBB">
      <w:pPr>
        <w:jc w:val="center"/>
        <w:rPr>
          <w:rFonts w:hint="eastAsia" w:ascii="黑体" w:hAnsi="黑体" w:eastAsia="黑体"/>
          <w:sz w:val="32"/>
          <w:szCs w:val="32"/>
          <w:highlight w:val="none"/>
        </w:rPr>
      </w:pPr>
    </w:p>
    <w:p w14:paraId="156768AC">
      <w:pPr>
        <w:jc w:val="both"/>
        <w:rPr>
          <w:rFonts w:hint="eastAsia" w:ascii="黑体" w:hAnsi="黑体" w:eastAsia="黑体"/>
          <w:sz w:val="32"/>
          <w:szCs w:val="32"/>
          <w:highlight w:val="none"/>
        </w:rPr>
      </w:pPr>
    </w:p>
    <w:p w14:paraId="4D857D94">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0EE7312D">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614CD254">
      <w:pPr>
        <w:pStyle w:val="3"/>
        <w:adjustRightInd w:val="0"/>
        <w:snapToGrid w:val="0"/>
        <w:spacing w:line="600" w:lineRule="exact"/>
        <w:ind w:firstLine="630" w:firstLineChars="210"/>
        <w:rPr>
          <w:rFonts w:hint="eastAsia"/>
          <w:bCs/>
          <w:szCs w:val="30"/>
          <w:highlight w:val="none"/>
        </w:rPr>
      </w:pPr>
      <w:r>
        <w:rPr>
          <w:rFonts w:hint="eastAsia" w:hAnsi="Times New Roman" w:cs="Times New Roman"/>
          <w:bCs/>
          <w:szCs w:val="30"/>
          <w:highlight w:val="none"/>
          <w:lang w:eastAsia="zh-CN"/>
        </w:rPr>
        <w:t>负责乡村特色产业、农产品加工业、休闲农业和农业龙头企业、乡镇企业发展的业务指导、监测管理、培训、统计等工作。指导农业产业化经营、农村一</w:t>
      </w:r>
      <w:r>
        <w:rPr>
          <w:rFonts w:hint="eastAsia" w:cs="Times New Roman"/>
          <w:bCs/>
          <w:szCs w:val="30"/>
          <w:highlight w:val="none"/>
          <w:lang w:eastAsia="zh-CN"/>
        </w:rPr>
        <w:t>、</w:t>
      </w:r>
      <w:r>
        <w:rPr>
          <w:rFonts w:hint="eastAsia" w:hAnsi="Times New Roman" w:cs="Times New Roman"/>
          <w:bCs/>
          <w:szCs w:val="30"/>
          <w:highlight w:val="none"/>
          <w:lang w:eastAsia="zh-CN"/>
        </w:rPr>
        <w:t>二</w:t>
      </w:r>
      <w:r>
        <w:rPr>
          <w:rFonts w:hint="eastAsia" w:cs="Times New Roman"/>
          <w:bCs/>
          <w:szCs w:val="30"/>
          <w:highlight w:val="none"/>
          <w:lang w:eastAsia="zh-CN"/>
        </w:rPr>
        <w:t>、</w:t>
      </w:r>
      <w:bookmarkStart w:id="0" w:name="_GoBack"/>
      <w:bookmarkEnd w:id="0"/>
      <w:r>
        <w:rPr>
          <w:rFonts w:hint="eastAsia" w:hAnsi="Times New Roman" w:cs="Times New Roman"/>
          <w:bCs/>
          <w:szCs w:val="30"/>
          <w:highlight w:val="none"/>
          <w:lang w:eastAsia="zh-CN"/>
        </w:rPr>
        <w:t>三产业融合发展和农村创业创新工作。承担龙头企业培育、认定和运行监测工作。承担特色小镇相关业务工作。</w:t>
      </w:r>
    </w:p>
    <w:p w14:paraId="5FB1ABE3">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7681554D">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7BABC2D0">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我单位共设置0个内设机构。</w:t>
      </w:r>
    </w:p>
    <w:p w14:paraId="03582F6A">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00E6F871">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2B985F4F">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我单位作为华宁县农业农村局</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071A2E19">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7F554929">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13</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12</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4862A4D3">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3CE239A1">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年末遗属</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lang w:val="en-US" w:eastAsia="zh-CN"/>
        </w:rPr>
        <w:t>人。</w:t>
      </w:r>
    </w:p>
    <w:p w14:paraId="5399A3A7">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车辆编制1辆，在编实有车辆1辆，超编0辆。</w:t>
      </w:r>
    </w:p>
    <w:p w14:paraId="33214288">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423CC3A3">
      <w:pPr>
        <w:pStyle w:val="2"/>
        <w:keepNext w:val="0"/>
        <w:keepLines w:val="0"/>
        <w:pageBreakBefore w:val="0"/>
        <w:widowControl w:val="0"/>
        <w:kinsoku/>
        <w:wordWrap/>
        <w:overflowPunct/>
        <w:topLinePunct w:val="0"/>
        <w:autoSpaceDE/>
        <w:autoSpaceDN/>
        <w:bidi w:val="0"/>
        <w:adjustRightInd/>
        <w:snapToGrid/>
        <w:spacing w:line="590" w:lineRule="exact"/>
        <w:ind w:left="0" w:leftChars="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w:t>
      </w:r>
      <w:r>
        <w:rPr>
          <w:rFonts w:hint="default" w:ascii="仿宋_GB2312" w:hAnsi="宋体" w:eastAsia="仿宋_GB2312" w:cs="Arial"/>
          <w:kern w:val="0"/>
          <w:sz w:val="30"/>
          <w:szCs w:val="30"/>
          <w:highlight w:val="none"/>
          <w:lang w:val="en-US" w:eastAsia="zh-CN" w:bidi="ar-SA"/>
        </w:rPr>
        <w:t>农业市场主体培育工作</w:t>
      </w:r>
      <w:r>
        <w:rPr>
          <w:rFonts w:hint="eastAsia" w:ascii="仿宋_GB2312" w:hAnsi="宋体" w:eastAsia="仿宋_GB2312" w:cs="Arial"/>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严格落实《华宁县进一步优化营商环境促进市场主体倍增的实施方案》要求，紧紧围绕让市场主体多起来、活起来、大起来、强起来的目标，进一步优化营商环境，多举措抓实农业市场主体培育工作。</w:t>
      </w:r>
      <w:r>
        <w:rPr>
          <w:rFonts w:hint="eastAsia" w:ascii="仿宋_GB2312" w:hAnsi="宋体" w:eastAsia="仿宋_GB2312" w:cs="Arial"/>
          <w:kern w:val="0"/>
          <w:sz w:val="30"/>
          <w:szCs w:val="30"/>
          <w:highlight w:val="none"/>
          <w:lang w:val="en-US" w:eastAsia="zh-CN" w:bidi="ar-SA"/>
        </w:rPr>
        <w:t>截止2025年底</w:t>
      </w:r>
      <w:r>
        <w:rPr>
          <w:rFonts w:hint="default" w:ascii="仿宋_GB2312" w:hAnsi="宋体" w:eastAsia="仿宋_GB2312" w:cs="Arial"/>
          <w:kern w:val="0"/>
          <w:sz w:val="30"/>
          <w:szCs w:val="30"/>
          <w:highlight w:val="none"/>
          <w:lang w:val="en-US" w:eastAsia="zh-CN" w:bidi="ar-SA"/>
        </w:rPr>
        <w:t>，全县实有农业企业</w:t>
      </w:r>
      <w:r>
        <w:rPr>
          <w:rFonts w:hint="eastAsia" w:ascii="仿宋_GB2312" w:hAnsi="宋体" w:eastAsia="仿宋_GB2312" w:cs="Arial"/>
          <w:kern w:val="0"/>
          <w:sz w:val="30"/>
          <w:szCs w:val="30"/>
          <w:highlight w:val="none"/>
          <w:lang w:val="en-US" w:eastAsia="zh-CN" w:bidi="ar-SA"/>
        </w:rPr>
        <w:t>1,098户</w:t>
      </w:r>
      <w:r>
        <w:rPr>
          <w:rFonts w:hint="default" w:ascii="仿宋_GB2312" w:hAnsi="宋体" w:eastAsia="仿宋_GB2312" w:cs="Arial"/>
          <w:kern w:val="0"/>
          <w:sz w:val="30"/>
          <w:szCs w:val="30"/>
          <w:highlight w:val="none"/>
          <w:lang w:val="en-US" w:eastAsia="zh-CN" w:bidi="ar-SA"/>
        </w:rPr>
        <w:t>，较2024年底净增44户，同比增长4.17%</w:t>
      </w:r>
      <w:r>
        <w:rPr>
          <w:rFonts w:hint="eastAsia" w:ascii="仿宋_GB2312" w:hAnsi="宋体" w:eastAsia="仿宋_GB2312" w:cs="Arial"/>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实有农民专业合作社394</w:t>
      </w:r>
      <w:r>
        <w:rPr>
          <w:rFonts w:hint="eastAsia" w:ascii="仿宋_GB2312" w:hAnsi="宋体" w:eastAsia="仿宋_GB2312" w:cs="Arial"/>
          <w:kern w:val="0"/>
          <w:sz w:val="30"/>
          <w:szCs w:val="30"/>
          <w:highlight w:val="none"/>
          <w:lang w:val="en-US" w:eastAsia="zh-CN" w:bidi="ar-SA"/>
        </w:rPr>
        <w:t>个</w:t>
      </w:r>
      <w:r>
        <w:rPr>
          <w:rFonts w:hint="default" w:ascii="仿宋_GB2312" w:hAnsi="宋体" w:eastAsia="仿宋_GB2312" w:cs="Arial"/>
          <w:kern w:val="0"/>
          <w:sz w:val="30"/>
          <w:szCs w:val="30"/>
          <w:highlight w:val="none"/>
          <w:lang w:val="en-US" w:eastAsia="zh-CN" w:bidi="ar-SA"/>
        </w:rPr>
        <w:t>，净增-8</w:t>
      </w:r>
      <w:r>
        <w:rPr>
          <w:rFonts w:hint="eastAsia" w:ascii="仿宋_GB2312" w:hAnsi="宋体" w:eastAsia="仿宋_GB2312" w:cs="Arial"/>
          <w:kern w:val="0"/>
          <w:sz w:val="30"/>
          <w:szCs w:val="30"/>
          <w:highlight w:val="none"/>
          <w:lang w:val="en-US" w:eastAsia="zh-CN" w:bidi="ar-SA"/>
        </w:rPr>
        <w:t>个</w:t>
      </w:r>
      <w:r>
        <w:rPr>
          <w:rFonts w:hint="default" w:ascii="仿宋_GB2312" w:hAnsi="宋体" w:eastAsia="仿宋_GB2312" w:cs="Arial"/>
          <w:kern w:val="0"/>
          <w:sz w:val="30"/>
          <w:szCs w:val="30"/>
          <w:highlight w:val="none"/>
          <w:lang w:val="en-US" w:eastAsia="zh-CN" w:bidi="ar-SA"/>
        </w:rPr>
        <w:t>，同比增长-1.99%；实有农业龙头企业48户（省级9户，市级19户，县级20户）；农业类“个转企”完成44户。</w:t>
      </w:r>
    </w:p>
    <w:p w14:paraId="43C96C48">
      <w:pPr>
        <w:pStyle w:val="3"/>
        <w:adjustRightInd w:val="0"/>
        <w:snapToGrid w:val="0"/>
        <w:spacing w:line="600" w:lineRule="exact"/>
        <w:ind w:firstLine="630" w:firstLineChars="210"/>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2、固定资产投资。</w:t>
      </w:r>
      <w:r>
        <w:rPr>
          <w:rFonts w:hint="default" w:ascii="仿宋_GB2312" w:hAnsi="宋体" w:eastAsia="仿宋_GB2312" w:cs="Arial"/>
          <w:kern w:val="0"/>
          <w:sz w:val="30"/>
          <w:szCs w:val="30"/>
          <w:highlight w:val="none"/>
          <w:lang w:val="en-US" w:eastAsia="zh-CN" w:bidi="ar-SA"/>
        </w:rPr>
        <w:t>2025</w:t>
      </w:r>
      <w:r>
        <w:rPr>
          <w:rFonts w:hint="eastAsia" w:ascii="仿宋_GB2312" w:hAnsi="宋体" w:eastAsia="仿宋_GB2312" w:cs="Arial"/>
          <w:kern w:val="0"/>
          <w:sz w:val="30"/>
          <w:szCs w:val="30"/>
          <w:highlight w:val="none"/>
          <w:lang w:val="en-US" w:eastAsia="zh-CN" w:bidi="ar-SA"/>
        </w:rPr>
        <w:t>年</w:t>
      </w:r>
      <w:r>
        <w:rPr>
          <w:rFonts w:hint="default" w:ascii="仿宋_GB2312" w:hAnsi="宋体" w:eastAsia="仿宋_GB2312" w:cs="Arial"/>
          <w:kern w:val="0"/>
          <w:sz w:val="30"/>
          <w:szCs w:val="30"/>
          <w:highlight w:val="none"/>
          <w:lang w:val="en-US" w:eastAsia="zh-CN" w:bidi="ar-SA"/>
        </w:rPr>
        <w:t>1</w:t>
      </w:r>
      <w:r>
        <w:rPr>
          <w:rFonts w:hint="eastAsia" w:ascii="仿宋_GB2312" w:hAnsi="宋体" w:eastAsia="仿宋_GB2312" w:cs="Arial"/>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12</w:t>
      </w:r>
      <w:r>
        <w:rPr>
          <w:rFonts w:hint="eastAsia" w:ascii="仿宋_GB2312" w:hAnsi="宋体" w:eastAsia="仿宋_GB2312" w:cs="Arial"/>
          <w:kern w:val="0"/>
          <w:sz w:val="30"/>
          <w:szCs w:val="30"/>
          <w:highlight w:val="none"/>
          <w:lang w:val="en-US" w:eastAsia="zh-CN" w:bidi="ar-SA"/>
        </w:rPr>
        <w:t>月农业类固定资产投资在库项目</w:t>
      </w:r>
      <w:r>
        <w:rPr>
          <w:rFonts w:hint="default" w:ascii="仿宋_GB2312" w:hAnsi="宋体" w:eastAsia="仿宋_GB2312" w:cs="Arial"/>
          <w:kern w:val="0"/>
          <w:sz w:val="30"/>
          <w:szCs w:val="30"/>
          <w:highlight w:val="none"/>
          <w:lang w:val="en-US" w:eastAsia="zh-CN" w:bidi="ar-SA"/>
        </w:rPr>
        <w:t>47</w:t>
      </w:r>
      <w:r>
        <w:rPr>
          <w:rFonts w:hint="eastAsia" w:ascii="仿宋_GB2312" w:hAnsi="宋体" w:eastAsia="仿宋_GB2312" w:cs="Arial"/>
          <w:kern w:val="0"/>
          <w:sz w:val="30"/>
          <w:szCs w:val="30"/>
          <w:highlight w:val="none"/>
          <w:lang w:val="en-US" w:eastAsia="zh-CN" w:bidi="ar-SA"/>
        </w:rPr>
        <w:t>个（其中新入库项目</w:t>
      </w:r>
      <w:r>
        <w:rPr>
          <w:rFonts w:hint="default" w:ascii="仿宋_GB2312" w:hAnsi="宋体" w:eastAsia="仿宋_GB2312" w:cs="Arial"/>
          <w:kern w:val="0"/>
          <w:sz w:val="30"/>
          <w:szCs w:val="30"/>
          <w:highlight w:val="none"/>
          <w:lang w:val="en-US" w:eastAsia="zh-CN" w:bidi="ar-SA"/>
        </w:rPr>
        <w:t>47</w:t>
      </w:r>
      <w:r>
        <w:rPr>
          <w:rFonts w:hint="eastAsia" w:ascii="仿宋_GB2312" w:hAnsi="宋体" w:eastAsia="仿宋_GB2312" w:cs="Arial"/>
          <w:kern w:val="0"/>
          <w:sz w:val="30"/>
          <w:szCs w:val="30"/>
          <w:highlight w:val="none"/>
          <w:lang w:val="en-US" w:eastAsia="zh-CN" w:bidi="ar-SA"/>
        </w:rPr>
        <w:t>个），总投资</w:t>
      </w:r>
      <w:r>
        <w:rPr>
          <w:rFonts w:hint="default" w:ascii="仿宋_GB2312" w:hAnsi="宋体" w:eastAsia="仿宋_GB2312" w:cs="Arial"/>
          <w:kern w:val="0"/>
          <w:sz w:val="30"/>
          <w:szCs w:val="30"/>
          <w:highlight w:val="none"/>
          <w:lang w:val="en-US" w:eastAsia="zh-CN" w:bidi="ar-SA"/>
        </w:rPr>
        <w:t>6</w:t>
      </w:r>
      <w:r>
        <w:rPr>
          <w:rFonts w:hint="eastAsia" w:ascii="仿宋_GB2312" w:hAnsi="宋体" w:eastAsia="仿宋_GB2312" w:cs="Arial"/>
          <w:kern w:val="0"/>
          <w:sz w:val="30"/>
          <w:szCs w:val="30"/>
          <w:highlight w:val="none"/>
          <w:lang w:val="en-US" w:eastAsia="zh-CN" w:bidi="ar-SA"/>
        </w:rPr>
        <w:t>3,338.00万元，完成投资</w:t>
      </w:r>
      <w:r>
        <w:rPr>
          <w:rFonts w:hint="default" w:ascii="仿宋_GB2312" w:hAnsi="宋体" w:eastAsia="仿宋_GB2312" w:cs="Arial"/>
          <w:kern w:val="0"/>
          <w:sz w:val="30"/>
          <w:szCs w:val="30"/>
          <w:highlight w:val="none"/>
          <w:lang w:val="en-US" w:eastAsia="zh-CN" w:bidi="ar-SA"/>
        </w:rPr>
        <w:t>6</w:t>
      </w:r>
      <w:r>
        <w:rPr>
          <w:rFonts w:hint="eastAsia" w:ascii="仿宋_GB2312" w:hAnsi="宋体" w:eastAsia="仿宋_GB2312" w:cs="Arial"/>
          <w:kern w:val="0"/>
          <w:sz w:val="30"/>
          <w:szCs w:val="30"/>
          <w:highlight w:val="none"/>
          <w:lang w:val="en-US" w:eastAsia="zh-CN" w:bidi="ar-SA"/>
        </w:rPr>
        <w:t>1,335.00万元，同比增长</w:t>
      </w:r>
      <w:r>
        <w:rPr>
          <w:rFonts w:hint="default" w:ascii="仿宋_GB2312" w:hAnsi="宋体" w:eastAsia="仿宋_GB2312" w:cs="Arial"/>
          <w:kern w:val="0"/>
          <w:sz w:val="30"/>
          <w:szCs w:val="30"/>
          <w:highlight w:val="none"/>
          <w:lang w:val="en-US" w:eastAsia="zh-CN" w:bidi="ar-SA"/>
        </w:rPr>
        <w:t>12</w:t>
      </w:r>
      <w:r>
        <w:rPr>
          <w:rFonts w:hint="eastAsia" w:ascii="仿宋_GB2312" w:hAnsi="宋体" w:eastAsia="仿宋_GB2312" w:cs="Arial"/>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37</w:t>
      </w:r>
      <w:r>
        <w:rPr>
          <w:rFonts w:hint="eastAsia" w:ascii="仿宋_GB2312" w:hAnsi="宋体" w:eastAsia="仿宋_GB2312" w:cs="Arial"/>
          <w:kern w:val="0"/>
          <w:sz w:val="30"/>
          <w:szCs w:val="30"/>
          <w:highlight w:val="none"/>
          <w:lang w:val="en-US" w:eastAsia="zh-CN" w:bidi="ar-SA"/>
        </w:rPr>
        <w:t>%，完成全年市级农业固定资产目标的</w:t>
      </w:r>
      <w:r>
        <w:rPr>
          <w:rFonts w:hint="default" w:ascii="仿宋_GB2312" w:hAnsi="宋体" w:eastAsia="仿宋_GB2312" w:cs="Arial"/>
          <w:kern w:val="0"/>
          <w:sz w:val="30"/>
          <w:szCs w:val="30"/>
          <w:highlight w:val="none"/>
          <w:lang w:val="en-US" w:eastAsia="zh-CN" w:bidi="ar-SA"/>
        </w:rPr>
        <w:t>69</w:t>
      </w:r>
      <w:r>
        <w:rPr>
          <w:rFonts w:hint="eastAsia" w:ascii="仿宋_GB2312" w:hAnsi="宋体" w:eastAsia="仿宋_GB2312" w:cs="Arial"/>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7</w:t>
      </w:r>
      <w:r>
        <w:rPr>
          <w:rFonts w:hint="eastAsia" w:ascii="仿宋_GB2312" w:hAnsi="宋体" w:eastAsia="仿宋_GB2312" w:cs="Arial"/>
          <w:kern w:val="0"/>
          <w:sz w:val="30"/>
          <w:szCs w:val="30"/>
          <w:highlight w:val="none"/>
          <w:lang w:val="en-US" w:eastAsia="zh-CN" w:bidi="ar-SA"/>
        </w:rPr>
        <w:t>0%（市级目标</w:t>
      </w:r>
      <w:r>
        <w:rPr>
          <w:rFonts w:hint="default" w:ascii="仿宋_GB2312" w:hAnsi="宋体" w:eastAsia="仿宋_GB2312" w:cs="Arial"/>
          <w:kern w:val="0"/>
          <w:sz w:val="30"/>
          <w:szCs w:val="30"/>
          <w:highlight w:val="none"/>
          <w:lang w:val="en-US" w:eastAsia="zh-CN" w:bidi="ar-SA"/>
        </w:rPr>
        <w:t>8</w:t>
      </w:r>
      <w:r>
        <w:rPr>
          <w:rFonts w:hint="eastAsia" w:ascii="仿宋_GB2312" w:hAnsi="宋体" w:eastAsia="仿宋_GB2312" w:cs="Arial"/>
          <w:kern w:val="0"/>
          <w:sz w:val="30"/>
          <w:szCs w:val="30"/>
          <w:highlight w:val="none"/>
          <w:lang w:val="en-US" w:eastAsia="zh-CN" w:bidi="ar-SA"/>
        </w:rPr>
        <w:t>8,000.00万元）。</w:t>
      </w:r>
    </w:p>
    <w:p w14:paraId="43C10DA3">
      <w:pPr>
        <w:pStyle w:val="3"/>
        <w:numPr>
          <w:ilvl w:val="0"/>
          <w:numId w:val="0"/>
        </w:numPr>
        <w:adjustRightInd w:val="0"/>
        <w:snapToGrid w:val="0"/>
        <w:spacing w:line="600" w:lineRule="exact"/>
        <w:ind w:firstLine="600" w:firstLineChars="200"/>
        <w:rPr>
          <w:rFonts w:hint="default" w:ascii="仿宋_GB2312" w:hAnsi="宋体" w:eastAsia="仿宋_GB2312" w:cs="Arial"/>
          <w:kern w:val="0"/>
          <w:sz w:val="30"/>
          <w:szCs w:val="30"/>
          <w:highlight w:val="none"/>
          <w:lang w:val="en-US" w:eastAsia="zh-CN" w:bidi="ar-SA"/>
        </w:rPr>
      </w:pPr>
      <w:r>
        <w:rPr>
          <w:rFonts w:hint="eastAsia" w:hAnsi="宋体" w:cs="Arial"/>
          <w:kern w:val="0"/>
          <w:sz w:val="30"/>
          <w:szCs w:val="30"/>
          <w:highlight w:val="none"/>
          <w:lang w:val="en-US" w:eastAsia="zh-CN" w:bidi="ar-SA"/>
        </w:rPr>
        <w:t>3、</w:t>
      </w:r>
      <w:r>
        <w:rPr>
          <w:rFonts w:hint="eastAsia" w:ascii="仿宋_GB2312" w:hAnsi="宋体" w:eastAsia="仿宋_GB2312" w:cs="Arial"/>
          <w:kern w:val="0"/>
          <w:sz w:val="30"/>
          <w:szCs w:val="30"/>
          <w:highlight w:val="none"/>
          <w:lang w:val="en-US" w:eastAsia="zh-CN" w:bidi="ar-SA"/>
        </w:rPr>
        <w:t>外向型农业经济发展。</w:t>
      </w:r>
      <w:r>
        <w:rPr>
          <w:rFonts w:hint="default" w:ascii="仿宋_GB2312" w:hAnsi="宋体" w:eastAsia="仿宋_GB2312" w:cs="Arial"/>
          <w:kern w:val="0"/>
          <w:sz w:val="30"/>
          <w:szCs w:val="30"/>
          <w:highlight w:val="none"/>
          <w:lang w:val="en-US" w:eastAsia="zh-CN" w:bidi="ar-SA"/>
        </w:rPr>
        <w:t>3月份顺利筹备召开了</w:t>
      </w:r>
      <w:r>
        <w:rPr>
          <w:rFonts w:hint="eastAsia" w:ascii="仿宋_GB2312" w:hAnsi="宋体" w:eastAsia="仿宋_GB2312" w:cs="Arial"/>
          <w:kern w:val="0"/>
          <w:sz w:val="30"/>
          <w:szCs w:val="30"/>
          <w:highlight w:val="none"/>
          <w:lang w:val="en-US" w:eastAsia="zh-CN" w:bidi="ar-SA"/>
        </w:rPr>
        <w:t>2025华</w:t>
      </w:r>
      <w:r>
        <w:rPr>
          <w:rFonts w:hint="default" w:ascii="仿宋_GB2312" w:hAnsi="宋体" w:eastAsia="仿宋_GB2312" w:cs="Arial"/>
          <w:kern w:val="0"/>
          <w:sz w:val="30"/>
          <w:szCs w:val="30"/>
          <w:highlight w:val="none"/>
          <w:lang w:val="en-US" w:eastAsia="zh-CN" w:bidi="ar-SA"/>
        </w:rPr>
        <w:t>宁县外向型农业企业发展座谈会。2025年成功协调有关部门完善工作流程，目前发往俄罗斯的农产品已从原本的骑缝章改为完章。积极协调海关在华宁建设临时集中查验场所，着力解决等待周期长、查验时间不确定等问题</w:t>
      </w:r>
      <w:r>
        <w:rPr>
          <w:rFonts w:hint="eastAsia" w:ascii="仿宋_GB2312" w:hAnsi="宋体" w:eastAsia="仿宋_GB2312" w:cs="Arial"/>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临时海关集中查验场所8月完工</w:t>
      </w:r>
      <w:r>
        <w:rPr>
          <w:rFonts w:hint="eastAsia" w:ascii="仿宋_GB2312" w:hAnsi="宋体" w:eastAsia="仿宋_GB2312" w:cs="Arial"/>
          <w:kern w:val="0"/>
          <w:sz w:val="30"/>
          <w:szCs w:val="30"/>
          <w:highlight w:val="none"/>
          <w:lang w:val="en-US" w:eastAsia="zh-CN" w:bidi="ar-SA"/>
        </w:rPr>
        <w:t>已</w:t>
      </w:r>
      <w:r>
        <w:rPr>
          <w:rFonts w:hint="default" w:ascii="Times New Roman" w:hAnsi="Times New Roman" w:eastAsia="方正仿宋_GBK" w:cs="Times New Roman"/>
          <w:color w:val="000000"/>
          <w:sz w:val="32"/>
          <w:szCs w:val="32"/>
          <w:lang w:val="en-US" w:eastAsia="zh-CN"/>
        </w:rPr>
        <w:t>投</w:t>
      </w:r>
      <w:r>
        <w:rPr>
          <w:rFonts w:hint="default" w:ascii="仿宋_GB2312" w:hAnsi="宋体" w:eastAsia="仿宋_GB2312" w:cs="Arial"/>
          <w:kern w:val="0"/>
          <w:sz w:val="30"/>
          <w:szCs w:val="30"/>
          <w:highlight w:val="none"/>
          <w:lang w:val="en-US" w:eastAsia="zh-CN" w:bidi="ar-SA"/>
        </w:rPr>
        <w:t>入试运营</w:t>
      </w:r>
      <w:r>
        <w:rPr>
          <w:rFonts w:hint="eastAsia" w:ascii="仿宋_GB2312" w:hAnsi="宋体" w:eastAsia="仿宋_GB2312" w:cs="Arial"/>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临时海关集中查验场所2025年共计服务外向型农业企业13户，集中查检出口柑桔356柜，共计查验</w:t>
      </w:r>
      <w:r>
        <w:rPr>
          <w:rFonts w:hint="eastAsia" w:ascii="仿宋_GB2312" w:hAnsi="宋体" w:eastAsia="仿宋_GB2312" w:cs="Arial"/>
          <w:kern w:val="0"/>
          <w:sz w:val="30"/>
          <w:szCs w:val="30"/>
          <w:highlight w:val="none"/>
          <w:lang w:val="en-US" w:eastAsia="zh-CN" w:bidi="ar-SA"/>
        </w:rPr>
        <w:t>9,006.</w:t>
      </w:r>
      <w:r>
        <w:rPr>
          <w:rFonts w:hint="default" w:ascii="仿宋_GB2312" w:hAnsi="宋体" w:eastAsia="仿宋_GB2312" w:cs="Arial"/>
          <w:kern w:val="0"/>
          <w:sz w:val="30"/>
          <w:szCs w:val="30"/>
          <w:highlight w:val="none"/>
          <w:lang w:val="en-US" w:eastAsia="zh-CN" w:bidi="ar-SA"/>
        </w:rPr>
        <w:t>8</w:t>
      </w:r>
      <w:r>
        <w:rPr>
          <w:rFonts w:hint="eastAsia" w:ascii="仿宋_GB2312" w:hAnsi="宋体" w:eastAsia="仿宋_GB2312" w:cs="Arial"/>
          <w:kern w:val="0"/>
          <w:sz w:val="30"/>
          <w:szCs w:val="30"/>
          <w:highlight w:val="none"/>
          <w:lang w:val="en-US" w:eastAsia="zh-CN" w:bidi="ar-SA"/>
        </w:rPr>
        <w:t>0</w:t>
      </w:r>
      <w:r>
        <w:rPr>
          <w:rFonts w:hint="default" w:ascii="仿宋_GB2312" w:hAnsi="宋体" w:eastAsia="仿宋_GB2312" w:cs="Arial"/>
          <w:kern w:val="0"/>
          <w:sz w:val="30"/>
          <w:szCs w:val="30"/>
          <w:highlight w:val="none"/>
          <w:lang w:val="en-US" w:eastAsia="zh-CN" w:bidi="ar-SA"/>
        </w:rPr>
        <w:t>吨，累计完成出口交易额3.87亿元，平均每吨比国内销售价格高</w:t>
      </w:r>
      <w:r>
        <w:rPr>
          <w:rFonts w:hint="eastAsia" w:ascii="仿宋_GB2312" w:hAnsi="宋体" w:eastAsia="仿宋_GB2312" w:cs="Arial"/>
          <w:kern w:val="0"/>
          <w:sz w:val="30"/>
          <w:szCs w:val="30"/>
          <w:highlight w:val="none"/>
          <w:lang w:val="en-US" w:eastAsia="zh-CN" w:bidi="ar-SA"/>
        </w:rPr>
        <w:t>2,000.00至3,000.00元</w:t>
      </w:r>
      <w:r>
        <w:rPr>
          <w:rFonts w:hint="default" w:ascii="仿宋_GB2312" w:hAnsi="宋体" w:eastAsia="仿宋_GB2312" w:cs="Arial"/>
          <w:kern w:val="0"/>
          <w:sz w:val="30"/>
          <w:szCs w:val="30"/>
          <w:highlight w:val="none"/>
          <w:lang w:val="en-US" w:eastAsia="zh-CN" w:bidi="ar-SA"/>
        </w:rPr>
        <w:t>左右，带动农户经济增收20%左右。</w:t>
      </w:r>
    </w:p>
    <w:p w14:paraId="0D401331">
      <w:pPr>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firstLine="600" w:firstLineChars="200"/>
        <w:jc w:val="both"/>
        <w:textAlignment w:val="auto"/>
        <w:rPr>
          <w:rFonts w:hint="eastAsia" w:hAnsi="Times New Roman" w:cs="Times New Roman"/>
          <w:bCs/>
          <w:szCs w:val="30"/>
          <w:highlight w:val="none"/>
          <w:lang w:val="en-US" w:eastAsia="zh-CN"/>
        </w:rPr>
      </w:pPr>
      <w:r>
        <w:rPr>
          <w:rFonts w:hint="eastAsia" w:ascii="仿宋_GB2312" w:hAnsi="宋体" w:eastAsia="仿宋_GB2312" w:cs="Arial"/>
          <w:kern w:val="0"/>
          <w:sz w:val="30"/>
          <w:szCs w:val="30"/>
          <w:highlight w:val="none"/>
          <w:lang w:val="en-US" w:eastAsia="zh-CN" w:bidi="ar-SA"/>
        </w:rPr>
        <w:t>截止2025年底</w:t>
      </w:r>
      <w:r>
        <w:rPr>
          <w:rFonts w:hint="default" w:ascii="仿宋_GB2312" w:hAnsi="宋体" w:eastAsia="仿宋_GB2312" w:cs="Arial"/>
          <w:kern w:val="0"/>
          <w:sz w:val="30"/>
          <w:szCs w:val="30"/>
          <w:highlight w:val="none"/>
          <w:lang w:val="en-US" w:eastAsia="zh-CN" w:bidi="ar-SA"/>
        </w:rPr>
        <w:t>，华宁现有报关单位68个，2025年新增15个，出境水果果园注册登记35个、面积5.11万亩，2025年新增9个共0.76万亩，出境水果包装厂25个，2025年新增5个。2025年1-11月，华宁柑桔向国外市场销售柑桔10.04万吨，出口交易额6.81亿元，较去年全年增长52.12%、66.09%。</w:t>
      </w:r>
    </w:p>
    <w:p w14:paraId="22B9BEB5">
      <w:pPr>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firstLine="600" w:firstLineChars="200"/>
        <w:jc w:val="both"/>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4、</w:t>
      </w:r>
      <w:r>
        <w:rPr>
          <w:rFonts w:hint="default" w:ascii="仿宋_GB2312" w:hAnsi="宋体" w:eastAsia="仿宋_GB2312" w:cs="Arial"/>
          <w:kern w:val="0"/>
          <w:sz w:val="30"/>
          <w:szCs w:val="30"/>
          <w:highlight w:val="none"/>
          <w:lang w:val="en-US" w:eastAsia="zh-CN" w:bidi="ar-SA"/>
        </w:rPr>
        <w:t>会展经济</w:t>
      </w:r>
      <w:r>
        <w:rPr>
          <w:rFonts w:hint="eastAsia" w:ascii="仿宋_GB2312" w:hAnsi="宋体" w:eastAsia="仿宋_GB2312" w:cs="Arial"/>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2025年以来组织企业参与了“玉溪市</w:t>
      </w:r>
      <w:r>
        <w:rPr>
          <w:rFonts w:hint="eastAsia" w:ascii="微软雅黑" w:hAnsi="微软雅黑" w:eastAsia="微软雅黑" w:cs="微软雅黑"/>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玉见好物</w:t>
      </w:r>
      <w:r>
        <w:rPr>
          <w:rFonts w:hint="eastAsia" w:ascii="微软雅黑" w:hAnsi="微软雅黑" w:eastAsia="微软雅黑" w:cs="微软雅黑"/>
          <w:kern w:val="0"/>
          <w:sz w:val="30"/>
          <w:szCs w:val="30"/>
          <w:highlight w:val="none"/>
          <w:lang w:val="en-US" w:eastAsia="zh-CN" w:bidi="ar-SA"/>
        </w:rPr>
        <w:t>’</w:t>
      </w:r>
      <w:r>
        <w:rPr>
          <w:rFonts w:hint="default" w:ascii="仿宋_GB2312" w:hAnsi="宋体" w:eastAsia="仿宋_GB2312" w:cs="Arial"/>
          <w:kern w:val="0"/>
          <w:sz w:val="30"/>
          <w:szCs w:val="30"/>
          <w:highlight w:val="none"/>
          <w:lang w:val="en-US" w:eastAsia="zh-CN" w:bidi="ar-SA"/>
        </w:rPr>
        <w:t>彩云市集活动、玉昆足球赛展会、小红村超市·云南寻香之旅、第二十三届中国昆明国际花卉展、第18届中国—南亚商务论坛暨玉溪市2025年贸易招商推介会”等多个会展活动，并成功帮助华宁惠丰农业开发有限责任公司、华宁云滇农业开发有限公司2家企业签订了上百万的农业订单。</w:t>
      </w:r>
    </w:p>
    <w:p w14:paraId="22AE7D28">
      <w:pPr>
        <w:keepNext w:val="0"/>
        <w:keepLines w:val="0"/>
        <w:pageBreakBefore w:val="0"/>
        <w:widowControl w:val="0"/>
        <w:numPr>
          <w:ilvl w:val="0"/>
          <w:numId w:val="0"/>
        </w:numPr>
        <w:kinsoku/>
        <w:wordWrap/>
        <w:overflowPunct/>
        <w:topLinePunct w:val="0"/>
        <w:autoSpaceDE/>
        <w:autoSpaceDN/>
        <w:bidi w:val="0"/>
        <w:adjustRightInd w:val="0"/>
        <w:snapToGrid/>
        <w:spacing w:line="590" w:lineRule="exact"/>
        <w:ind w:firstLine="600" w:firstLineChars="200"/>
        <w:jc w:val="both"/>
        <w:textAlignment w:val="auto"/>
        <w:rPr>
          <w:rFonts w:hint="default"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5、打造“绿色食品牌”。</w:t>
      </w:r>
      <w:r>
        <w:rPr>
          <w:rFonts w:hint="default" w:ascii="仿宋_GB2312" w:hAnsi="宋体" w:eastAsia="仿宋_GB2312" w:cs="Arial"/>
          <w:kern w:val="0"/>
          <w:sz w:val="30"/>
          <w:szCs w:val="30"/>
          <w:highlight w:val="none"/>
          <w:lang w:val="en-US" w:eastAsia="zh-CN" w:bidi="ar-SA"/>
        </w:rPr>
        <w:t>已完成2025年“绿色食品牌”重点产业统计数据填报，收集粮食、蔬菜、水果、畜禽、中药材、花卉等产业发展情况，截止目前，华宁共有“绿色食品牌”4个，区域品牌1个（柑桔），企业品牌3个（宁州香、阿穆尔、惠丰）。</w:t>
      </w:r>
    </w:p>
    <w:p w14:paraId="52AD11CB">
      <w:pPr>
        <w:keepNext w:val="0"/>
        <w:keepLines w:val="0"/>
        <w:pageBreakBefore w:val="0"/>
        <w:widowControl w:val="0"/>
        <w:kinsoku/>
        <w:wordWrap/>
        <w:overflowPunct/>
        <w:topLinePunct w:val="0"/>
        <w:autoSpaceDE/>
        <w:autoSpaceDN/>
        <w:bidi w:val="0"/>
        <w:snapToGrid/>
        <w:spacing w:line="590" w:lineRule="exact"/>
        <w:ind w:firstLine="640" w:firstLineChars="200"/>
        <w:jc w:val="both"/>
        <w:textAlignment w:val="auto"/>
        <w:rPr>
          <w:rFonts w:hint="eastAsia" w:ascii="Times New Roman" w:hAnsi="Times New Roman" w:eastAsia="方正仿宋_GBK" w:cs="Times New Roman"/>
          <w:color w:val="000000"/>
          <w:kern w:val="2"/>
          <w:sz w:val="32"/>
          <w:szCs w:val="32"/>
          <w:lang w:val="en-US" w:eastAsia="zh-CN" w:bidi="ar-SA"/>
        </w:rPr>
      </w:pPr>
    </w:p>
    <w:p w14:paraId="32FCC7A7">
      <w:pPr>
        <w:numPr>
          <w:ilvl w:val="0"/>
          <w:numId w:val="0"/>
        </w:numPr>
        <w:spacing w:line="600" w:lineRule="exact"/>
        <w:outlineLvl w:val="1"/>
        <w:rPr>
          <w:rFonts w:hint="eastAsia" w:ascii="黑体" w:hAnsi="黑体" w:eastAsia="黑体"/>
          <w:sz w:val="30"/>
          <w:szCs w:val="30"/>
          <w:highlight w:val="none"/>
          <w:lang w:eastAsia="zh-CN"/>
        </w:rPr>
      </w:pPr>
    </w:p>
    <w:p w14:paraId="485F538D">
      <w:pPr>
        <w:spacing w:line="600" w:lineRule="exact"/>
        <w:ind w:firstLine="600" w:firstLineChars="200"/>
        <w:jc w:val="left"/>
        <w:rPr>
          <w:rFonts w:hint="eastAsia" w:ascii="仿宋_GB2312" w:hAnsi="宋体" w:eastAsia="仿宋_GB2312" w:cs="Arial"/>
          <w:kern w:val="0"/>
          <w:sz w:val="30"/>
          <w:szCs w:val="30"/>
          <w:highlight w:val="none"/>
        </w:rPr>
      </w:pPr>
    </w:p>
    <w:p w14:paraId="7EE9E4DB">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01F1F25C">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5C9C8FF9">
      <w:pPr>
        <w:pStyle w:val="3"/>
        <w:adjustRightInd w:val="0"/>
        <w:snapToGrid w:val="0"/>
        <w:spacing w:line="600" w:lineRule="exact"/>
        <w:ind w:firstLine="630" w:firstLineChars="210"/>
        <w:rPr>
          <w:rFonts w:hint="eastAsia" w:hAnsi="Times New Roman" w:cs="Times New Roman"/>
          <w:bCs/>
          <w:szCs w:val="30"/>
          <w:highlight w:val="none"/>
          <w:lang w:val="en-US" w:eastAsia="zh-CN"/>
        </w:rPr>
      </w:pPr>
      <w:r>
        <w:rPr>
          <w:rFonts w:hint="eastAsia" w:hAnsi="Times New Roman" w:cs="Times New Roman"/>
          <w:bCs/>
          <w:szCs w:val="30"/>
          <w:highlight w:val="none"/>
          <w:lang w:val="en-US" w:eastAsia="zh-CN"/>
        </w:rPr>
        <w:t>华宁县农业产业化经营与农产品加工领导小组办公室202</w:t>
      </w:r>
      <w:r>
        <w:rPr>
          <w:rFonts w:hint="eastAsia" w:cs="Times New Roman"/>
          <w:bCs/>
          <w:szCs w:val="30"/>
          <w:highlight w:val="none"/>
          <w:lang w:val="en-US" w:eastAsia="zh-CN"/>
        </w:rPr>
        <w:t>5</w:t>
      </w:r>
      <w:r>
        <w:rPr>
          <w:rFonts w:hint="eastAsia" w:hAnsi="Times New Roman" w:cs="Times New Roman"/>
          <w:bCs/>
          <w:szCs w:val="30"/>
          <w:highlight w:val="none"/>
          <w:lang w:val="en-US" w:eastAsia="zh-CN"/>
        </w:rPr>
        <w:t>年度无政府性基金预算财政拨款收入，也无政府性基金预算财政拨款支出，《政府性基金预算财政拨款收入支出决算表》为空表。</w:t>
      </w:r>
    </w:p>
    <w:p w14:paraId="746D41E0">
      <w:pPr>
        <w:pStyle w:val="3"/>
        <w:adjustRightInd w:val="0"/>
        <w:snapToGrid w:val="0"/>
        <w:spacing w:line="600" w:lineRule="exact"/>
        <w:ind w:firstLine="630" w:firstLineChars="210"/>
        <w:rPr>
          <w:rFonts w:hint="eastAsia" w:ascii="仿宋_GB2312" w:eastAsia="仿宋_GB2312"/>
          <w:sz w:val="30"/>
          <w:szCs w:val="30"/>
          <w:highlight w:val="none"/>
          <w:lang w:eastAsia="zh-CN"/>
        </w:rPr>
      </w:pPr>
      <w:r>
        <w:rPr>
          <w:rFonts w:hint="eastAsia" w:hAnsi="Times New Roman" w:cs="Times New Roman"/>
          <w:bCs/>
          <w:szCs w:val="30"/>
          <w:highlight w:val="none"/>
          <w:lang w:val="en-US" w:eastAsia="zh-CN"/>
        </w:rPr>
        <w:t>华宁县农业产业化经营与农产品加工领导小组办公室202</w:t>
      </w:r>
      <w:r>
        <w:rPr>
          <w:rFonts w:hint="eastAsia" w:cs="Times New Roman"/>
          <w:bCs/>
          <w:szCs w:val="30"/>
          <w:highlight w:val="none"/>
          <w:lang w:val="en-US" w:eastAsia="zh-CN"/>
        </w:rPr>
        <w:t>5</w:t>
      </w:r>
      <w:r>
        <w:rPr>
          <w:rFonts w:hint="eastAsia" w:hAnsi="Times New Roman" w:cs="Times New Roman"/>
          <w:bCs/>
          <w:szCs w:val="30"/>
          <w:highlight w:val="none"/>
          <w:lang w:val="en-US" w:eastAsia="zh-CN"/>
        </w:rPr>
        <w:t>年度无国有资本经营预算财政拨款收入，也无国有资本经营预算财政拨款支出，《国有资本经营预算财政拨款收入支出决算表》为空表。</w:t>
      </w:r>
    </w:p>
    <w:p w14:paraId="42EB6546">
      <w:pPr>
        <w:spacing w:line="600" w:lineRule="exact"/>
        <w:ind w:firstLine="600" w:firstLineChars="200"/>
        <w:jc w:val="left"/>
        <w:rPr>
          <w:rFonts w:hint="eastAsia" w:ascii="仿宋_GB2312" w:eastAsia="仿宋_GB2312"/>
          <w:sz w:val="30"/>
          <w:szCs w:val="30"/>
          <w:highlight w:val="none"/>
          <w:lang w:eastAsia="zh-CN"/>
        </w:rPr>
      </w:pPr>
    </w:p>
    <w:p w14:paraId="4AC0D2BF">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47C1099F">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617B160F">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华宁县乡村产业发展中心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2,357,171.23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2,226,371.23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94.45</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130,800.00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5.55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eastAsia="仿宋_GB2312"/>
          <w:sz w:val="30"/>
          <w:szCs w:val="30"/>
          <w:highlight w:val="none"/>
          <w:lang w:eastAsia="zh-CN"/>
        </w:rPr>
        <w:t>。</w:t>
      </w:r>
    </w:p>
    <w:p w14:paraId="12E68C00">
      <w:pPr>
        <w:widowControl/>
        <w:snapToGrid w:val="0"/>
        <w:spacing w:before="100" w:after="100" w:line="600" w:lineRule="exact"/>
        <w:ind w:firstLine="538"/>
        <w:jc w:val="left"/>
        <w:rPr>
          <w:rFonts w:hint="default" w:ascii="仿宋_GB2312" w:eastAsia="仿宋_GB2312"/>
          <w:sz w:val="30"/>
          <w:szCs w:val="30"/>
          <w:highlight w:val="none"/>
          <w:lang w:val="en-US"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722,635.87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23.46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717,167.87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24.36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主要原因是2024年拨付以前年度上级项目资金982,771.00，今年此类支出只有32,700.00元。</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5,468.00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4.01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，原因是上年华宁县热带作物示范园拨入上海特色商品展销会经费</w:t>
      </w:r>
      <w:r>
        <w:rPr>
          <w:rFonts w:hint="eastAsia" w:ascii="仿宋_GB2312" w:eastAsia="仿宋_GB2312"/>
          <w:sz w:val="30"/>
          <w:szCs w:val="30"/>
          <w:highlight w:val="none"/>
          <w:lang w:val="en-US" w:eastAsia="zh-CN"/>
        </w:rPr>
        <w:t>5,468.00元，今年无此项收入。</w:t>
      </w:r>
    </w:p>
    <w:p w14:paraId="2A19B57C">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20B6B7C4">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华宁县乡村产业发展中心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2,312,022.63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2,185,570.63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94.53</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126,452.00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5.47</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对附属单位补助支出。</w:t>
      </w:r>
    </w:p>
    <w:p w14:paraId="68A5187A">
      <w:pPr>
        <w:spacing w:line="600" w:lineRule="exact"/>
        <w:ind w:firstLine="600" w:firstLineChars="200"/>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767,784.47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24.93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285,964.93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15.05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主要原因是2024年7月，单位新招录2人，2025年人员经费比上年增加所致</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1,053,749.40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89.29</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，主要原因是</w:t>
      </w:r>
      <w:r>
        <w:rPr>
          <w:rFonts w:hint="eastAsia" w:ascii="仿宋_GB2312" w:eastAsia="仿宋_GB2312"/>
          <w:sz w:val="30"/>
          <w:szCs w:val="30"/>
          <w:highlight w:val="none"/>
          <w:lang w:val="en-US" w:eastAsia="zh-CN"/>
        </w:rPr>
        <w:t>2024年拨付以前年度上级项目资金982,771.00，今年此类支出只有32,700.00元。</w:t>
      </w:r>
    </w:p>
    <w:p w14:paraId="5614DC7F">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51DA43BF">
      <w:pPr>
        <w:widowControl/>
        <w:snapToGrid w:val="0"/>
        <w:spacing w:before="100" w:after="100" w:line="600" w:lineRule="exact"/>
        <w:ind w:firstLine="600" w:firstLineChars="200"/>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华宁县乡村产业发展中心</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2,185,570.63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2,169,958.36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99.29</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15,612.27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0.71</w:t>
      </w:r>
      <w:r>
        <w:rPr>
          <w:rFonts w:hint="eastAsia" w:ascii="仿宋_GB2312" w:hAnsi="仿宋_GB2312" w:eastAsia="仿宋_GB2312" w:cs="仿宋_GB2312"/>
          <w:sz w:val="30"/>
          <w:szCs w:val="30"/>
          <w:highlight w:val="none"/>
        </w:rPr>
        <w:t>％。</w:t>
      </w:r>
    </w:p>
    <w:p w14:paraId="700FC8D6">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6F462E8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华宁县乡村产业发展中心</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126,452.00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16F5C7E4">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eastAsia="zh-CN"/>
        </w:rPr>
        <w:t>信息平台</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17,700.00</w:t>
      </w:r>
      <w:r>
        <w:rPr>
          <w:rFonts w:hint="eastAsia" w:ascii="仿宋_GB2312" w:eastAsia="仿宋_GB2312"/>
          <w:sz w:val="30"/>
          <w:szCs w:val="30"/>
          <w:highlight w:val="none"/>
        </w:rPr>
        <w:t>元，用于华宁柑橘现代农业产业园</w:t>
      </w:r>
      <w:r>
        <w:rPr>
          <w:rFonts w:hint="eastAsia" w:ascii="仿宋_GB2312" w:eastAsia="仿宋_GB2312"/>
          <w:sz w:val="30"/>
          <w:szCs w:val="30"/>
          <w:highlight w:val="none"/>
          <w:lang w:eastAsia="zh-CN"/>
        </w:rPr>
        <w:t>宣传信息平台建设；</w:t>
      </w:r>
    </w:p>
    <w:p w14:paraId="28337C1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宣传片</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15,000.00</w:t>
      </w:r>
      <w:r>
        <w:rPr>
          <w:rFonts w:hint="eastAsia" w:ascii="仿宋_GB2312" w:eastAsia="仿宋_GB2312"/>
          <w:sz w:val="30"/>
          <w:szCs w:val="30"/>
          <w:highlight w:val="none"/>
        </w:rPr>
        <w:t>元，用于华宁柑橘现代农业产业园柑桔宣传片制作</w:t>
      </w:r>
      <w:r>
        <w:rPr>
          <w:rFonts w:hint="eastAsia" w:ascii="仿宋_GB2312" w:eastAsia="仿宋_GB2312"/>
          <w:sz w:val="30"/>
          <w:szCs w:val="30"/>
          <w:highlight w:val="none"/>
          <w:lang w:eastAsia="zh-CN"/>
        </w:rPr>
        <w:t>；</w:t>
      </w:r>
    </w:p>
    <w:p w14:paraId="53526218">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2025年新农村建设及产业发展补助自有资金项目85,436.00元，主要</w:t>
      </w:r>
      <w:r>
        <w:rPr>
          <w:rFonts w:hint="eastAsia" w:ascii="仿宋_GB2312" w:eastAsia="仿宋_GB2312"/>
          <w:sz w:val="30"/>
          <w:szCs w:val="30"/>
          <w:highlight w:val="none"/>
        </w:rPr>
        <w:t>用于</w:t>
      </w:r>
      <w:r>
        <w:rPr>
          <w:rFonts w:hint="eastAsia" w:ascii="仿宋_GB2312" w:eastAsia="仿宋_GB2312"/>
          <w:sz w:val="30"/>
          <w:szCs w:val="30"/>
          <w:highlight w:val="none"/>
          <w:lang w:eastAsia="zh-CN"/>
        </w:rPr>
        <w:t>支付盘溪镇丫喜小组新农村建设和基地产业发展补助。</w:t>
      </w:r>
    </w:p>
    <w:p w14:paraId="03F2D990">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27CFC2D0">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33862257">
      <w:pPr>
        <w:widowControl/>
        <w:snapToGrid w:val="0"/>
        <w:spacing w:before="100" w:after="100" w:line="600" w:lineRule="exact"/>
        <w:ind w:firstLine="600" w:firstLineChars="200"/>
        <w:jc w:val="left"/>
        <w:rPr>
          <w:rFonts w:hint="default" w:ascii="仿宋_GB2312" w:hAnsi="宋体" w:eastAsia="仿宋_GB2312" w:cs="Arial"/>
          <w:kern w:val="0"/>
          <w:sz w:val="30"/>
          <w:szCs w:val="30"/>
          <w:highlight w:val="none"/>
          <w:lang w:val="en-US"/>
        </w:rPr>
      </w:pPr>
      <w:r>
        <w:rPr>
          <w:rFonts w:hint="eastAsia" w:ascii="仿宋_GB2312" w:hAnsi="仿宋_GB2312" w:eastAsia="仿宋_GB2312" w:cs="仿宋_GB2312"/>
          <w:color w:val="auto"/>
          <w:sz w:val="30"/>
          <w:lang w:val="zh-CN"/>
        </w:rPr>
        <w:t>华宁县乡村产业发展中心</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2,226,371.23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96.30</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717,167.87</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24.36</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主要原因是2024年拨付以前年度上级项目资金982,771.00元，今年此类支出只有32,700.00元。</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99.92</w:t>
      </w:r>
      <w:r>
        <w:rPr>
          <w:rFonts w:hint="eastAsia" w:ascii="仿宋_GB2312" w:eastAsia="仿宋_GB2312"/>
          <w:sz w:val="30"/>
          <w:szCs w:val="30"/>
          <w:highlight w:val="none"/>
          <w:lang w:val="en-US" w:eastAsia="zh-CN"/>
        </w:rPr>
        <w:t>%，主要原因是财政资金困难，退休人员生活补助比预算数减少14,400.00，公积金比预算数减少28,628.00元。</w:t>
      </w:r>
    </w:p>
    <w:p w14:paraId="394E202E">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5AA85D2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13BE8DA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20588E9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047DBDF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DA04E7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04683FA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7FA167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43E34E0E">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225,219.04</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10.12</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92.25</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单位职工养老保险缴费和死亡抚恤</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eastAsia="仿宋_GB2312"/>
          <w:sz w:val="30"/>
          <w:szCs w:val="30"/>
          <w:highlight w:val="none"/>
          <w:lang w:val="en-US" w:eastAsia="zh-CN"/>
        </w:rPr>
        <w:t>财政资金困难，退休人员生活补助14,400.00元未拨付。</w:t>
      </w:r>
    </w:p>
    <w:p w14:paraId="6195E64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178,719.28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8.03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97.30</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用于</w:t>
      </w:r>
      <w:r>
        <w:rPr>
          <w:rFonts w:hint="eastAsia" w:ascii="仿宋_GB2312" w:hAnsi="宋体" w:eastAsia="仿宋_GB2312" w:cs="Arial"/>
          <w:kern w:val="0"/>
          <w:sz w:val="30"/>
          <w:szCs w:val="30"/>
          <w:highlight w:val="none"/>
          <w:lang w:eastAsia="zh-CN"/>
        </w:rPr>
        <w:t>单位职工基本医疗保险、生育保险、公务医疗补助缴费</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造成预决算差异的主要原因是在今年拨付的卫生健康类费用中，有</w:t>
      </w:r>
      <w:r>
        <w:rPr>
          <w:rFonts w:hint="eastAsia" w:ascii="仿宋_GB2312" w:hAnsi="宋体" w:eastAsia="仿宋_GB2312" w:cs="Arial"/>
          <w:kern w:val="0"/>
          <w:sz w:val="30"/>
          <w:szCs w:val="30"/>
          <w:highlight w:val="none"/>
          <w:lang w:val="en-US" w:eastAsia="zh-CN"/>
        </w:rPr>
        <w:t>2个月是拨付上年11-12月的费用，上年的缴费标准比今年的略低</w:t>
      </w:r>
      <w:r>
        <w:rPr>
          <w:rFonts w:hint="eastAsia" w:ascii="仿宋_GB2312" w:hAnsi="宋体" w:eastAsia="仿宋_GB2312" w:cs="Arial"/>
          <w:kern w:val="0"/>
          <w:sz w:val="30"/>
          <w:szCs w:val="30"/>
          <w:highlight w:val="none"/>
          <w:lang w:eastAsia="zh-CN"/>
        </w:rPr>
        <w:t>。</w:t>
      </w:r>
    </w:p>
    <w:p w14:paraId="1ABF245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4204F3E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235E4900">
      <w:pPr>
        <w:widowControl/>
        <w:snapToGrid w:val="0"/>
        <w:spacing w:before="100" w:after="100" w:line="360" w:lineRule="auto"/>
        <w:ind w:firstLine="600" w:firstLineChars="200"/>
        <w:jc w:val="left"/>
        <w:rPr>
          <w:rFonts w:hint="default" w:ascii="仿宋_GB2312" w:hAnsi="宋体" w:eastAsia="仿宋_GB2312" w:cs="Arial"/>
          <w:kern w:val="0"/>
          <w:sz w:val="30"/>
          <w:szCs w:val="30"/>
          <w:highlight w:val="none"/>
          <w:lang w:val="en-US"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1,672,284.91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75.11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103.12</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维持机构正常运转职工工资、办公费等和农业生产发展及其他农林水项目支出</w:t>
      </w:r>
      <w:r>
        <w:rPr>
          <w:rFonts w:hint="eastAsia" w:ascii="仿宋_GB2312" w:hAnsi="宋体" w:eastAsia="仿宋_GB2312" w:cs="Arial"/>
          <w:kern w:val="0"/>
          <w:sz w:val="30"/>
          <w:szCs w:val="30"/>
          <w:highlight w:val="none"/>
          <w:lang w:val="en-US" w:eastAsia="zh-CN"/>
        </w:rPr>
        <w:t xml:space="preserve"> </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造成预决算差异的主要原因是本年拨付的以前年度项目资金</w:t>
      </w:r>
      <w:r>
        <w:rPr>
          <w:rFonts w:hint="eastAsia" w:ascii="仿宋_GB2312" w:hAnsi="宋体" w:eastAsia="仿宋_GB2312" w:cs="Arial"/>
          <w:kern w:val="0"/>
          <w:sz w:val="30"/>
          <w:szCs w:val="30"/>
          <w:highlight w:val="none"/>
          <w:lang w:val="en-US" w:eastAsia="zh-CN"/>
        </w:rPr>
        <w:t>32,700.00元年初无预算。</w:t>
      </w:r>
    </w:p>
    <w:p w14:paraId="62E24C7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0CB3835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2BED66A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4A16DDC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93A5B7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2973A25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69778F00">
      <w:pPr>
        <w:widowControl/>
        <w:snapToGrid w:val="0"/>
        <w:spacing w:before="100" w:after="100" w:line="360" w:lineRule="auto"/>
        <w:ind w:firstLine="600" w:firstLineChars="200"/>
        <w:jc w:val="left"/>
        <w:rPr>
          <w:rFonts w:hint="default" w:ascii="仿宋_GB2312" w:hAnsi="宋体" w:eastAsia="仿宋_GB2312" w:cs="Arial"/>
          <w:kern w:val="0"/>
          <w:sz w:val="30"/>
          <w:szCs w:val="30"/>
          <w:highlight w:val="none"/>
          <w:lang w:val="en-US"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150,148.00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6.74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83.99</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用于</w:t>
      </w:r>
      <w:r>
        <w:rPr>
          <w:rFonts w:hint="eastAsia" w:ascii="仿宋_GB2312" w:hAnsi="宋体" w:eastAsia="仿宋_GB2312" w:cs="Arial"/>
          <w:kern w:val="0"/>
          <w:sz w:val="30"/>
          <w:szCs w:val="30"/>
          <w:highlight w:val="none"/>
          <w:lang w:eastAsia="zh-CN"/>
        </w:rPr>
        <w:t>缴纳单位职工住房公积金</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造成预决算差异的主要原因是财政资金困难，只拨付了</w:t>
      </w:r>
      <w:r>
        <w:rPr>
          <w:rFonts w:hint="eastAsia" w:ascii="仿宋_GB2312" w:hAnsi="宋体" w:eastAsia="仿宋_GB2312" w:cs="Arial"/>
          <w:kern w:val="0"/>
          <w:sz w:val="30"/>
          <w:szCs w:val="30"/>
          <w:highlight w:val="none"/>
          <w:lang w:val="en-US" w:eastAsia="zh-CN"/>
        </w:rPr>
        <w:t>1-10月分公积金。</w:t>
      </w:r>
    </w:p>
    <w:p w14:paraId="2678752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46A95A4E">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5CD07C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1530C48">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52E9E99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60EE3167">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A8F9486">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14:paraId="7FFBA78C">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64E1CCB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5F7CB92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7,800.00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；上年无此项支出</w:t>
      </w:r>
      <w:r>
        <w:rPr>
          <w:rFonts w:hint="eastAsia" w:ascii="仿宋_GB2312" w:eastAsia="仿宋_GB2312"/>
          <w:color w:val="auto"/>
          <w:sz w:val="30"/>
          <w:szCs w:val="30"/>
          <w:lang w:eastAsia="zh-CN"/>
        </w:rPr>
        <w:t>。</w:t>
      </w:r>
    </w:p>
    <w:p w14:paraId="36CD3A1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7,800.00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p>
    <w:p w14:paraId="75FF33B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 xml:space="preserve">元，上年无此项支出 </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lang w:val="en-US" w:eastAsia="zh-CN"/>
        </w:rPr>
        <w:t>，上年无此项支出</w:t>
      </w:r>
      <w:r>
        <w:rPr>
          <w:rFonts w:hint="eastAsia" w:ascii="仿宋_GB2312" w:hAnsi="宋体" w:eastAsia="仿宋_GB2312" w:cs="Arial"/>
          <w:kern w:val="0"/>
          <w:sz w:val="30"/>
          <w:szCs w:val="30"/>
          <w:highlight w:val="none"/>
          <w:lang w:eastAsia="zh-CN"/>
        </w:rPr>
        <w:t>。</w:t>
      </w:r>
    </w:p>
    <w:p w14:paraId="6167C21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377526A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7,800.00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p>
    <w:p w14:paraId="2B286047">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w:t>
      </w:r>
      <w:r>
        <w:rPr>
          <w:rFonts w:hint="eastAsia" w:ascii="仿宋_GB2312" w:hAnsi="仿宋_GB2312" w:eastAsia="仿宋_GB2312" w:cs="仿宋_GB2312"/>
          <w:color w:val="000000"/>
          <w:sz w:val="30"/>
          <w:lang w:val="en-US" w:eastAsia="zh-CN"/>
        </w:rPr>
        <w:t>0元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7,800.00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是单位坚持厉行节约，无必要不开支</w:t>
      </w:r>
      <w:r>
        <w:rPr>
          <w:rFonts w:hint="eastAsia" w:ascii="仿宋_GB2312" w:eastAsia="仿宋_GB2312"/>
          <w:sz w:val="30"/>
          <w:szCs w:val="30"/>
          <w:highlight w:val="none"/>
        </w:rPr>
        <w:t>。</w:t>
      </w:r>
    </w:p>
    <w:p w14:paraId="03B5E4AC">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w:t>
      </w:r>
      <w:r>
        <w:rPr>
          <w:rFonts w:hint="eastAsia" w:ascii="仿宋_GB2312" w:eastAsia="仿宋_GB2312"/>
          <w:sz w:val="30"/>
          <w:szCs w:val="30"/>
          <w:highlight w:val="none"/>
          <w:lang w:eastAsia="zh-CN"/>
        </w:rPr>
        <w:t>上年无此项支出</w:t>
      </w:r>
      <w:r>
        <w:rPr>
          <w:rFonts w:hint="eastAsia" w:ascii="仿宋_GB2312" w:hAnsi="宋体" w:eastAsia="仿宋_GB2312" w:cs="Arial"/>
          <w:kern w:val="0"/>
          <w:sz w:val="30"/>
          <w:szCs w:val="30"/>
          <w:highlight w:val="none"/>
          <w:lang w:eastAsia="zh-CN"/>
        </w:rPr>
        <w:t>。</w:t>
      </w:r>
    </w:p>
    <w:p w14:paraId="6E2149B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4D2733C3">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14:paraId="3D1C5B7B">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14:paraId="2630BF23">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14:paraId="5D544D1B">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3F4F2E1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6FD582DD">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p>
    <w:p w14:paraId="71757933">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1366071D">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6347E914">
      <w:pPr>
        <w:ind w:firstLine="600" w:firstLineChars="200"/>
        <w:jc w:val="left"/>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华宁县农业产业化经营与农产品加工领导小组办公室2025年机关运行经费支出0.00元，与上年对比无变化，主要原因是</w:t>
      </w:r>
      <w:r>
        <w:rPr>
          <w:rFonts w:hint="eastAsia" w:ascii="仿宋_GB2312" w:hAnsi="仿宋_GB2312" w:eastAsia="仿宋_GB2312" w:cs="仿宋_GB2312"/>
          <w:color w:val="auto"/>
          <w:sz w:val="30"/>
          <w:lang w:val="zh-CN"/>
        </w:rPr>
        <w:t>华宁县乡村产业发展中心</w:t>
      </w:r>
      <w:r>
        <w:rPr>
          <w:rFonts w:hint="eastAsia" w:ascii="仿宋_GB2312" w:hAnsi="仿宋_GB2312" w:eastAsia="仿宋_GB2312" w:cs="仿宋_GB2312"/>
          <w:color w:val="auto"/>
          <w:sz w:val="30"/>
          <w:lang w:val="en-US" w:eastAsia="zh-CN"/>
        </w:rPr>
        <w:t>为其他事业单位，无机关运行经费。</w:t>
      </w:r>
    </w:p>
    <w:p w14:paraId="777DF7C0">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367F982C">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华宁县乡村产业发展中心</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56,499.55</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45,855.24</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10,644.31</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。与上年相比，本年资产总额增加</w:t>
      </w:r>
      <w:r>
        <w:rPr>
          <w:rFonts w:hint="eastAsia" w:ascii="仿宋_GB2312" w:hAnsi="黑体" w:eastAsia="仿宋_GB2312" w:cs="方正小标宋简体"/>
          <w:color w:val="000000"/>
          <w:kern w:val="0"/>
          <w:sz w:val="30"/>
          <w:szCs w:val="30"/>
          <w:highlight w:val="none"/>
          <w:lang w:val="en-US" w:eastAsia="zh-CN"/>
        </w:rPr>
        <w:t>44,075.78</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1,529.55</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0B0C7A7B">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11FDF727">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2F68B67F">
            <w:pPr>
              <w:widowControl/>
              <w:jc w:val="left"/>
              <w:rPr>
                <w:rFonts w:ascii="宋体" w:hAnsi="宋体" w:cs="宋体"/>
                <w:color w:val="000000"/>
                <w:kern w:val="0"/>
                <w:sz w:val="17"/>
                <w:szCs w:val="17"/>
                <w:highlight w:val="none"/>
              </w:rPr>
            </w:pPr>
          </w:p>
        </w:tc>
      </w:tr>
      <w:tr w14:paraId="09A17B41">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49CCA1BE">
            <w:pPr>
              <w:widowControl/>
              <w:jc w:val="left"/>
              <w:rPr>
                <w:rFonts w:ascii="宋体" w:hAnsi="宋体" w:cs="宋体"/>
                <w:color w:val="000000"/>
                <w:kern w:val="0"/>
                <w:sz w:val="17"/>
                <w:szCs w:val="17"/>
                <w:highlight w:val="none"/>
              </w:rPr>
            </w:pPr>
          </w:p>
        </w:tc>
      </w:tr>
      <w:tr w14:paraId="54341A85">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0F04E363">
            <w:pPr>
              <w:widowControl/>
              <w:jc w:val="left"/>
              <w:rPr>
                <w:rFonts w:ascii="宋体" w:hAnsi="宋体" w:cs="宋体"/>
                <w:color w:val="000000"/>
                <w:kern w:val="0"/>
                <w:sz w:val="17"/>
                <w:szCs w:val="17"/>
                <w:highlight w:val="none"/>
              </w:rPr>
            </w:pPr>
          </w:p>
        </w:tc>
      </w:tr>
      <w:tr w14:paraId="60EB105B">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365F3441">
            <w:pPr>
              <w:widowControl/>
              <w:jc w:val="left"/>
              <w:rPr>
                <w:rFonts w:ascii="宋体" w:hAnsi="宋体" w:cs="宋体"/>
                <w:color w:val="000000"/>
                <w:kern w:val="0"/>
                <w:sz w:val="17"/>
                <w:szCs w:val="17"/>
                <w:highlight w:val="none"/>
              </w:rPr>
            </w:pPr>
          </w:p>
        </w:tc>
      </w:tr>
      <w:tr w14:paraId="3E496FE2">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09D30A6C">
            <w:pPr>
              <w:widowControl/>
              <w:jc w:val="left"/>
              <w:rPr>
                <w:rFonts w:ascii="宋体" w:hAnsi="宋体" w:cs="宋体"/>
                <w:color w:val="000000"/>
                <w:kern w:val="0"/>
                <w:sz w:val="17"/>
                <w:szCs w:val="17"/>
                <w:highlight w:val="none"/>
              </w:rPr>
            </w:pPr>
          </w:p>
        </w:tc>
      </w:tr>
      <w:tr w14:paraId="4F817F8D">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24E25D99">
            <w:pPr>
              <w:widowControl/>
              <w:jc w:val="left"/>
              <w:rPr>
                <w:rFonts w:ascii="宋体" w:hAnsi="宋体" w:cs="宋体"/>
                <w:color w:val="000000"/>
                <w:kern w:val="0"/>
                <w:sz w:val="17"/>
                <w:szCs w:val="17"/>
                <w:highlight w:val="none"/>
              </w:rPr>
            </w:pPr>
          </w:p>
        </w:tc>
      </w:tr>
      <w:tr w14:paraId="21A25C17">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799FB8F4">
            <w:pPr>
              <w:widowControl/>
              <w:jc w:val="left"/>
              <w:rPr>
                <w:rFonts w:ascii="宋体" w:hAnsi="宋体" w:cs="宋体"/>
                <w:color w:val="000000"/>
                <w:kern w:val="0"/>
                <w:sz w:val="17"/>
                <w:szCs w:val="17"/>
                <w:highlight w:val="none"/>
              </w:rPr>
            </w:pPr>
          </w:p>
        </w:tc>
      </w:tr>
      <w:tr w14:paraId="0F01E835">
        <w:tblPrEx>
          <w:tblCellMar>
            <w:top w:w="0" w:type="dxa"/>
            <w:left w:w="0" w:type="dxa"/>
            <w:bottom w:w="0" w:type="dxa"/>
            <w:right w:w="0" w:type="dxa"/>
          </w:tblCellMar>
        </w:tblPrEx>
        <w:trPr>
          <w:trHeight w:val="495" w:hRule="atLeast"/>
        </w:trPr>
        <w:tc>
          <w:tcPr>
            <w:tcW w:w="142" w:type="dxa"/>
            <w:noWrap w:val="0"/>
            <w:vAlign w:val="center"/>
          </w:tcPr>
          <w:p w14:paraId="782704C3">
            <w:pPr>
              <w:widowControl/>
              <w:jc w:val="left"/>
              <w:rPr>
                <w:rFonts w:ascii="Times New Roman" w:hAnsi="Times New Roman" w:eastAsia="Times New Roman"/>
                <w:kern w:val="0"/>
                <w:sz w:val="20"/>
                <w:szCs w:val="20"/>
                <w:highlight w:val="none"/>
              </w:rPr>
            </w:pPr>
          </w:p>
        </w:tc>
      </w:tr>
    </w:tbl>
    <w:p w14:paraId="5563FD49">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389277B3">
      <w:pPr>
        <w:ind w:firstLine="600" w:firstLineChars="2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color w:val="auto"/>
          <w:sz w:val="30"/>
          <w:lang w:val="en-US" w:eastAsia="zh-CN"/>
        </w:rPr>
        <w:t>2025年度，单位政府采购支出总额</w:t>
      </w:r>
      <w:r>
        <w:rPr>
          <w:rFonts w:hint="eastAsia" w:ascii="仿宋_GB2312" w:hAnsi="仿宋_GB2312" w:eastAsia="仿宋_GB2312" w:cs="仿宋_GB2312"/>
          <w:color w:val="auto"/>
          <w:sz w:val="30"/>
          <w:lang w:val="zh-CN" w:eastAsia="zh-CN"/>
        </w:rPr>
        <w:t>7,227.87</w:t>
      </w:r>
      <w:r>
        <w:rPr>
          <w:rFonts w:hint="eastAsia" w:ascii="仿宋_GB2312" w:hAnsi="仿宋_GB2312" w:eastAsia="仿宋_GB2312" w:cs="仿宋_GB2312"/>
          <w:color w:val="auto"/>
          <w:sz w:val="30"/>
          <w:lang w:val="en-US" w:eastAsia="zh-CN"/>
        </w:rPr>
        <w:t>元，其中：政府采购货物支出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元；政府采购工程支出</w:t>
      </w:r>
      <w:r>
        <w:rPr>
          <w:rFonts w:hint="eastAsia" w:ascii="仿宋_GB2312" w:hAnsi="仿宋_GB2312" w:eastAsia="仿宋_GB2312" w:cs="仿宋_GB2312"/>
          <w:color w:val="auto"/>
          <w:sz w:val="30"/>
          <w:lang w:val="zh-CN" w:eastAsia="zh-CN"/>
        </w:rPr>
        <w:t>0.00</w:t>
      </w:r>
      <w:r>
        <w:rPr>
          <w:rFonts w:hint="eastAsia" w:ascii="仿宋_GB2312" w:hAnsi="仿宋_GB2312" w:eastAsia="仿宋_GB2312" w:cs="仿宋_GB2312"/>
          <w:color w:val="auto"/>
          <w:sz w:val="30"/>
          <w:lang w:val="en-US" w:eastAsia="zh-CN"/>
        </w:rPr>
        <w:t>元；政府采购服务支出</w:t>
      </w:r>
      <w:r>
        <w:rPr>
          <w:rFonts w:hint="eastAsia" w:ascii="仿宋_GB2312" w:hAnsi="仿宋_GB2312" w:eastAsia="仿宋_GB2312" w:cs="仿宋_GB2312"/>
          <w:color w:val="auto"/>
          <w:sz w:val="30"/>
          <w:lang w:val="zh-CN" w:eastAsia="zh-CN"/>
        </w:rPr>
        <w:t>7,227.87</w:t>
      </w:r>
      <w:r>
        <w:rPr>
          <w:rFonts w:hint="eastAsia" w:ascii="仿宋_GB2312" w:hAnsi="仿宋_GB2312" w:eastAsia="仿宋_GB2312" w:cs="仿宋_GB2312"/>
          <w:color w:val="auto"/>
          <w:sz w:val="30"/>
          <w:lang w:val="en-US" w:eastAsia="zh-CN"/>
        </w:rPr>
        <w:t>元。授予中小企业合同金额</w:t>
      </w:r>
      <w:r>
        <w:rPr>
          <w:rFonts w:hint="eastAsia" w:ascii="仿宋_GB2312" w:hAnsi="仿宋_GB2312" w:eastAsia="仿宋_GB2312" w:cs="仿宋_GB2312"/>
          <w:color w:val="auto"/>
          <w:sz w:val="30"/>
          <w:lang w:val="zh-CN" w:eastAsia="zh-CN"/>
        </w:rPr>
        <w:t>5,270.37</w:t>
      </w:r>
      <w:r>
        <w:rPr>
          <w:rFonts w:hint="eastAsia" w:ascii="仿宋_GB2312" w:hAnsi="仿宋_GB2312" w:eastAsia="仿宋_GB2312" w:cs="仿宋_GB2312"/>
          <w:color w:val="auto"/>
          <w:sz w:val="30"/>
          <w:lang w:val="en-US" w:eastAsia="zh-CN"/>
        </w:rPr>
        <w:t>元，其中：授予小微企业合同金额</w:t>
      </w:r>
      <w:r>
        <w:rPr>
          <w:rFonts w:hint="eastAsia" w:ascii="仿宋_GB2312" w:hAnsi="仿宋_GB2312" w:eastAsia="仿宋_GB2312" w:cs="仿宋_GB2312"/>
          <w:color w:val="auto"/>
          <w:sz w:val="30"/>
          <w:lang w:val="zh-CN" w:eastAsia="zh-CN"/>
        </w:rPr>
        <w:t>5,270.37</w:t>
      </w:r>
      <w:r>
        <w:rPr>
          <w:rFonts w:hint="eastAsia" w:ascii="仿宋_GB2312" w:hAnsi="仿宋_GB2312" w:eastAsia="仿宋_GB2312" w:cs="仿宋_GB2312"/>
          <w:color w:val="auto"/>
          <w:sz w:val="30"/>
          <w:lang w:val="en-US" w:eastAsia="zh-CN"/>
        </w:rPr>
        <w:t>元。</w:t>
      </w:r>
    </w:p>
    <w:p w14:paraId="53FCED09">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70E91291">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6F75F1FD">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693E2D21">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无。</w:t>
      </w:r>
    </w:p>
    <w:p w14:paraId="1E008F41">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69494ABA">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3CBC2455">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51FB7162">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532ADB20">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605920B4">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0EFE1397">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C24E9CD">
      <w:pPr>
        <w:ind w:firstLine="600" w:firstLineChars="200"/>
        <w:jc w:val="left"/>
        <w:rPr>
          <w:rFonts w:ascii="Times New Roman" w:hAnsi="Times New Roman"/>
        </w:rPr>
      </w:pPr>
      <w:r>
        <w:rPr>
          <w:rFonts w:hint="eastAsia" w:ascii="仿宋_GB2312" w:hAnsi="黑体" w:eastAsia="仿宋_GB2312" w:cs="方正小标宋简体"/>
          <w:sz w:val="30"/>
          <w:szCs w:val="30"/>
          <w:highlight w:val="none"/>
          <w:lang w:eastAsia="zh-CN"/>
        </w:rPr>
        <w:t>政府采购：是指各级国家机关、事业单位和团体组织，使用财政性资金采购依法制定的集中采购目录以内的或者采购限额标准以上的货物、工程和服务的行为。</w:t>
      </w:r>
    </w:p>
    <w:p w14:paraId="6E90661F">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公”经费：“三公”经费预算数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086680BE">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A6A3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E12A4AE">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5E12A4AE">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279E1">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343D07D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A813E">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62B99E1D"/>
    <w:multiLevelType w:val="singleLevel"/>
    <w:tmpl w:val="62B99E1D"/>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96093"/>
    <w:rsid w:val="01785440"/>
    <w:rsid w:val="0607239F"/>
    <w:rsid w:val="09AE69E9"/>
    <w:rsid w:val="0AE047FE"/>
    <w:rsid w:val="0B111932"/>
    <w:rsid w:val="0C3A4232"/>
    <w:rsid w:val="0CF2240C"/>
    <w:rsid w:val="0D0E01E4"/>
    <w:rsid w:val="0D3F7993"/>
    <w:rsid w:val="0E9D6C3E"/>
    <w:rsid w:val="0F186307"/>
    <w:rsid w:val="0F905BC1"/>
    <w:rsid w:val="0FCF50EB"/>
    <w:rsid w:val="11273BC1"/>
    <w:rsid w:val="11C07D61"/>
    <w:rsid w:val="142B7DC7"/>
    <w:rsid w:val="14D179DF"/>
    <w:rsid w:val="161C7151"/>
    <w:rsid w:val="164B49DB"/>
    <w:rsid w:val="19C96574"/>
    <w:rsid w:val="1BAA3DD9"/>
    <w:rsid w:val="1E8A7CBA"/>
    <w:rsid w:val="1F545A52"/>
    <w:rsid w:val="214E11AF"/>
    <w:rsid w:val="220D4867"/>
    <w:rsid w:val="22857CBD"/>
    <w:rsid w:val="24140363"/>
    <w:rsid w:val="243C7755"/>
    <w:rsid w:val="27F6646D"/>
    <w:rsid w:val="29DD1085"/>
    <w:rsid w:val="2B877E3E"/>
    <w:rsid w:val="2C116E3E"/>
    <w:rsid w:val="2EA574FB"/>
    <w:rsid w:val="2F9257C7"/>
    <w:rsid w:val="3065354B"/>
    <w:rsid w:val="31604447"/>
    <w:rsid w:val="33AF60E6"/>
    <w:rsid w:val="343520A9"/>
    <w:rsid w:val="35F406D0"/>
    <w:rsid w:val="3803470F"/>
    <w:rsid w:val="384B29B7"/>
    <w:rsid w:val="3B3061BC"/>
    <w:rsid w:val="3F9335C1"/>
    <w:rsid w:val="40D12D69"/>
    <w:rsid w:val="43290DDC"/>
    <w:rsid w:val="43EE0A42"/>
    <w:rsid w:val="45627AE4"/>
    <w:rsid w:val="494C5FA6"/>
    <w:rsid w:val="4AC6390F"/>
    <w:rsid w:val="4E4D00C9"/>
    <w:rsid w:val="4F5D75C7"/>
    <w:rsid w:val="51D204E8"/>
    <w:rsid w:val="528F2655"/>
    <w:rsid w:val="57D72D8F"/>
    <w:rsid w:val="5F2F0C19"/>
    <w:rsid w:val="652C609E"/>
    <w:rsid w:val="65816595"/>
    <w:rsid w:val="66FE60BF"/>
    <w:rsid w:val="685E27BC"/>
    <w:rsid w:val="68901EFA"/>
    <w:rsid w:val="69F00E56"/>
    <w:rsid w:val="6A88688D"/>
    <w:rsid w:val="6ABC0FC0"/>
    <w:rsid w:val="6BD732D1"/>
    <w:rsid w:val="6C4E33F1"/>
    <w:rsid w:val="6F012FA0"/>
    <w:rsid w:val="6F2B0871"/>
    <w:rsid w:val="7145428F"/>
    <w:rsid w:val="72326231"/>
    <w:rsid w:val="76ED2928"/>
    <w:rsid w:val="778C3726"/>
    <w:rsid w:val="7B3D5BB4"/>
    <w:rsid w:val="7D0A3EEF"/>
    <w:rsid w:val="7D390AF0"/>
    <w:rsid w:val="7E761F8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7cbabc-4dd0-45ac-b6de-e5f6bca5c168}">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17</Pages>
  <Words>279</Words>
  <Characters>288</Characters>
  <Lines>0</Lines>
  <Paragraphs>0</Paragraphs>
  <TotalTime>46</TotalTime>
  <ScaleCrop>false</ScaleCrop>
  <LinksUpToDate>false</LinksUpToDate>
  <CharactersWithSpaces>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周红明</cp:lastModifiedBy>
  <cp:lastPrinted>2024-07-30T06:24:00Z</cp:lastPrinted>
  <dcterms:modified xsi:type="dcterms:W3CDTF">2026-10-16T01:16:08Z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D45296F7F2444F3C8CDB43DA2E9FADD3</vt:lpwstr>
  </property>
  <property fmtid="{D5CDD505-2E9C-101B-9397-08002B2CF9AE}" pid="4" name="KSOTemplateDocerSaveRecord">
    <vt:lpwstr>eyJoZGlkIjoiMDAxYzUxYjBkYzM1MGUwYTY1N2Q3NWY5MzI2MjkyNjUiLCJ1c2VySWQiOiIxMTU3MzgzMTI3In0=</vt:lpwstr>
  </property>
</Properties>
</file>