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FB5F3C">
      <w:pPr>
        <w:jc w:val="center"/>
        <w:outlineLvl w:val="0"/>
        <w:rPr>
          <w:rFonts w:hint="eastAsia"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sz w:val="36"/>
          <w:lang w:val="zh-CN"/>
        </w:rPr>
        <w:t>华宁县农村社会事业发展中心</w:t>
      </w:r>
      <w:r>
        <w:rPr>
          <w:rFonts w:hint="eastAsia" w:ascii="方正小标宋简体" w:hAnsi="方正小标宋简体" w:eastAsia="方正小标宋简体" w:cs="方正小标宋简体"/>
          <w:sz w:val="36"/>
          <w:szCs w:val="36"/>
          <w:highlight w:val="none"/>
          <w:lang w:val="en-US" w:eastAsia="zh-CN"/>
        </w:rPr>
        <w:t>2025年度</w:t>
      </w:r>
      <w:r>
        <w:rPr>
          <w:rFonts w:hint="eastAsia" w:ascii="方正小标宋简体" w:hAnsi="方正小标宋简体" w:eastAsia="方正小标宋简体" w:cs="方正小标宋简体"/>
          <w:sz w:val="36"/>
          <w:szCs w:val="36"/>
          <w:highlight w:val="none"/>
        </w:rPr>
        <w:t>部门决算</w:t>
      </w:r>
    </w:p>
    <w:p w14:paraId="5882279B">
      <w:pPr>
        <w:jc w:val="center"/>
        <w:rPr>
          <w:rFonts w:hint="eastAsia" w:ascii="方正小标宋简体" w:hAnsi="方正小标宋简体" w:eastAsia="方正小标宋简体" w:cs="方正小标宋简体"/>
          <w:sz w:val="36"/>
          <w:szCs w:val="36"/>
          <w:highlight w:val="none"/>
        </w:rPr>
      </w:pPr>
    </w:p>
    <w:p w14:paraId="41EFE2E4">
      <w:pPr>
        <w:jc w:val="center"/>
        <w:outlineLvl w:val="0"/>
        <w:rPr>
          <w:rFonts w:hint="eastAsia" w:ascii="方正小标宋简体" w:hAnsi="方正小标宋简体" w:eastAsia="方正小标宋简体" w:cs="方正小标宋简体"/>
          <w:sz w:val="36"/>
          <w:szCs w:val="36"/>
          <w:highlight w:val="none"/>
          <w:lang w:eastAsia="zh-CN"/>
        </w:rPr>
      </w:pPr>
      <w:r>
        <w:rPr>
          <w:rFonts w:hint="eastAsia" w:ascii="方正小标宋简体" w:hAnsi="方正小标宋简体" w:eastAsia="方正小标宋简体" w:cs="方正小标宋简体"/>
          <w:sz w:val="36"/>
          <w:szCs w:val="36"/>
          <w:highlight w:val="none"/>
          <w:lang w:eastAsia="zh-CN"/>
        </w:rPr>
        <w:t>目录</w:t>
      </w:r>
    </w:p>
    <w:p w14:paraId="24853F34">
      <w:pPr>
        <w:jc w:val="left"/>
        <w:rPr>
          <w:rFonts w:hint="eastAsia" w:ascii="黑体" w:hAnsi="黑体" w:eastAsia="黑体"/>
          <w:sz w:val="30"/>
          <w:szCs w:val="30"/>
          <w:highlight w:val="none"/>
        </w:rPr>
      </w:pPr>
    </w:p>
    <w:p w14:paraId="7F171CD6">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第一部分  </w:t>
      </w:r>
      <w:r>
        <w:rPr>
          <w:rFonts w:hint="eastAsia" w:ascii="黑体" w:hAnsi="黑体" w:eastAsia="黑体"/>
          <w:sz w:val="30"/>
          <w:szCs w:val="30"/>
          <w:highlight w:val="none"/>
          <w:lang w:eastAsia="zh-CN"/>
        </w:rPr>
        <w:t>单位</w:t>
      </w:r>
      <w:r>
        <w:rPr>
          <w:rFonts w:hint="eastAsia" w:ascii="黑体" w:hAnsi="黑体" w:eastAsia="黑体"/>
          <w:sz w:val="30"/>
          <w:szCs w:val="30"/>
          <w:highlight w:val="none"/>
        </w:rPr>
        <w:t>概况</w:t>
      </w:r>
    </w:p>
    <w:p w14:paraId="2837FAAE">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一、主要职</w:t>
      </w:r>
      <w:r>
        <w:rPr>
          <w:rFonts w:hint="eastAsia" w:ascii="楷体" w:hAnsi="楷体" w:eastAsia="楷体"/>
          <w:sz w:val="30"/>
          <w:szCs w:val="30"/>
          <w:highlight w:val="none"/>
          <w:lang w:eastAsia="zh-CN"/>
        </w:rPr>
        <w:t>责</w:t>
      </w:r>
    </w:p>
    <w:p w14:paraId="51877E88">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二、</w:t>
      </w:r>
      <w:r>
        <w:rPr>
          <w:rFonts w:hint="eastAsia" w:ascii="楷体" w:hAnsi="楷体" w:eastAsia="楷体"/>
          <w:sz w:val="30"/>
          <w:szCs w:val="30"/>
          <w:highlight w:val="none"/>
          <w:lang w:eastAsia="zh-CN"/>
        </w:rPr>
        <w:t>基本情况</w:t>
      </w:r>
    </w:p>
    <w:p w14:paraId="73512CFC">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三、重点工作概述</w:t>
      </w:r>
    </w:p>
    <w:p w14:paraId="19CD2AB7">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第二部分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部门决算表</w:t>
      </w:r>
    </w:p>
    <w:p w14:paraId="6236C1A8">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一、收入支出决算表</w:t>
      </w:r>
    </w:p>
    <w:p w14:paraId="346AF20B">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二、收入决算表</w:t>
      </w:r>
    </w:p>
    <w:p w14:paraId="6D18C8A4">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三、支出决算表</w:t>
      </w:r>
    </w:p>
    <w:p w14:paraId="331C7C62">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四、财政拨款收入支出决算表</w:t>
      </w:r>
    </w:p>
    <w:p w14:paraId="16678C9A">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五、一般公共预算财政拨款收入支出决算表</w:t>
      </w:r>
    </w:p>
    <w:p w14:paraId="541E4CAA">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六、一般公共预算财政拨款基本支出决算表</w:t>
      </w:r>
    </w:p>
    <w:p w14:paraId="6D1E51A7">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七、</w:t>
      </w:r>
      <w:r>
        <w:rPr>
          <w:rFonts w:hint="eastAsia" w:ascii="楷体" w:hAnsi="楷体" w:eastAsia="楷体"/>
          <w:sz w:val="30"/>
          <w:szCs w:val="30"/>
          <w:highlight w:val="none"/>
          <w:lang w:eastAsia="zh-CN"/>
        </w:rPr>
        <w:t>一般公共预算财政拨款项目支出决算表</w:t>
      </w:r>
    </w:p>
    <w:p w14:paraId="3D9DF31B">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八</w:t>
      </w:r>
      <w:r>
        <w:rPr>
          <w:rFonts w:hint="eastAsia" w:ascii="楷体" w:hAnsi="楷体" w:eastAsia="楷体"/>
          <w:sz w:val="30"/>
          <w:szCs w:val="30"/>
          <w:highlight w:val="none"/>
        </w:rPr>
        <w:t>、政府性基金预算财政拨款收入支出决算表</w:t>
      </w:r>
    </w:p>
    <w:p w14:paraId="410CBFDC">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九、国有资本经营预算财政拨款收入支出决算表</w:t>
      </w:r>
    </w:p>
    <w:p w14:paraId="179A11B6">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十</w:t>
      </w:r>
      <w:r>
        <w:rPr>
          <w:rFonts w:hint="eastAsia" w:ascii="楷体" w:hAnsi="楷体" w:eastAsia="楷体"/>
          <w:sz w:val="30"/>
          <w:szCs w:val="30"/>
          <w:highlight w:val="none"/>
        </w:rPr>
        <w:t>、</w:t>
      </w:r>
      <w:r>
        <w:rPr>
          <w:rFonts w:hint="eastAsia" w:ascii="楷体" w:hAnsi="楷体" w:eastAsia="楷体"/>
          <w:sz w:val="30"/>
          <w:szCs w:val="30"/>
          <w:highlight w:val="none"/>
          <w:lang w:eastAsia="zh-CN"/>
        </w:rPr>
        <w:t>财政拨款</w:t>
      </w:r>
      <w:r>
        <w:rPr>
          <w:rFonts w:hint="eastAsia" w:ascii="楷体" w:hAnsi="楷体" w:eastAsia="楷体"/>
          <w:sz w:val="30"/>
          <w:szCs w:val="30"/>
          <w:highlight w:val="none"/>
        </w:rPr>
        <w:t>“三公”经费、行政参公单位机关运行经费情况表</w:t>
      </w:r>
    </w:p>
    <w:p w14:paraId="73F3A33E">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val="en-US" w:eastAsia="zh-CN"/>
        </w:rPr>
        <w:t>十一、一般公共预算财政拨款“三公”经费情况表</w:t>
      </w:r>
    </w:p>
    <w:p w14:paraId="041EB089">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第三部</w:t>
      </w:r>
      <w:r>
        <w:rPr>
          <w:rFonts w:hint="eastAsia" w:ascii="黑体" w:hAnsi="黑体" w:eastAsia="黑体"/>
          <w:sz w:val="30"/>
          <w:szCs w:val="30"/>
          <w:highlight w:val="none"/>
          <w:lang w:eastAsia="zh-CN"/>
        </w:rPr>
        <w:t>分</w:t>
      </w:r>
      <w:r>
        <w:rPr>
          <w:rFonts w:hint="eastAsia" w:ascii="黑体" w:hAnsi="黑体" w:eastAsia="黑体"/>
          <w:sz w:val="30"/>
          <w:szCs w:val="30"/>
          <w:highlight w:val="none"/>
        </w:rPr>
        <w:t xml:space="preserve">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部门决算情况说明</w:t>
      </w:r>
    </w:p>
    <w:p w14:paraId="1647E92A">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一、收入决算情况说明</w:t>
      </w:r>
    </w:p>
    <w:p w14:paraId="63855A1F">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二、支出决算情况说明</w:t>
      </w:r>
    </w:p>
    <w:p w14:paraId="5E39AF68">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三、一般公共预算财政拨款支出决算情况说明</w:t>
      </w:r>
    </w:p>
    <w:p w14:paraId="536F250A">
      <w:pPr>
        <w:widowControl/>
        <w:snapToGrid w:val="0"/>
        <w:spacing w:before="100" w:after="100" w:line="360" w:lineRule="auto"/>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四、财政拨款“三公”经费支出决算情况说明</w:t>
      </w:r>
    </w:p>
    <w:p w14:paraId="18AF95B9">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lang w:eastAsia="zh-CN"/>
        </w:rPr>
        <w:t>第四部分</w:t>
      </w:r>
      <w:r>
        <w:rPr>
          <w:rFonts w:hint="eastAsia" w:ascii="楷体" w:hAnsi="楷体" w:eastAsia="楷体"/>
          <w:sz w:val="30"/>
          <w:szCs w:val="30"/>
          <w:highlight w:val="none"/>
          <w:lang w:val="en-US" w:eastAsia="zh-CN"/>
        </w:rPr>
        <w:t xml:space="preserve">  </w:t>
      </w:r>
      <w:r>
        <w:rPr>
          <w:rFonts w:hint="eastAsia" w:ascii="黑体" w:hAnsi="黑体" w:eastAsia="黑体"/>
          <w:sz w:val="30"/>
          <w:szCs w:val="30"/>
          <w:highlight w:val="none"/>
        </w:rPr>
        <w:t>其他重要事项及相关口径情况说明</w:t>
      </w:r>
    </w:p>
    <w:p w14:paraId="22DFB402">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一、</w:t>
      </w:r>
      <w:r>
        <w:rPr>
          <w:rFonts w:hint="eastAsia" w:ascii="楷体" w:hAnsi="楷体" w:eastAsia="楷体"/>
          <w:sz w:val="30"/>
          <w:szCs w:val="30"/>
          <w:highlight w:val="none"/>
        </w:rPr>
        <w:t>机关运行经费支出情况</w:t>
      </w:r>
    </w:p>
    <w:p w14:paraId="01C6FCC3">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国有资产占用情况</w:t>
      </w:r>
    </w:p>
    <w:p w14:paraId="027AD62C">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w:t>
      </w:r>
      <w:r>
        <w:rPr>
          <w:rFonts w:hint="eastAsia" w:ascii="楷体" w:hAnsi="楷体" w:eastAsia="楷体"/>
          <w:sz w:val="30"/>
          <w:szCs w:val="30"/>
          <w:highlight w:val="none"/>
        </w:rPr>
        <w:t>政府采购支出情况</w:t>
      </w:r>
    </w:p>
    <w:p w14:paraId="7DE660E5">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四、</w:t>
      </w:r>
      <w:r>
        <w:rPr>
          <w:rFonts w:hint="eastAsia" w:ascii="楷体" w:hAnsi="楷体" w:eastAsia="楷体"/>
          <w:sz w:val="30"/>
          <w:szCs w:val="30"/>
          <w:highlight w:val="none"/>
          <w:lang w:val="en-US" w:eastAsia="zh-CN"/>
        </w:rPr>
        <w:t>单位绩效自评情况</w:t>
      </w:r>
    </w:p>
    <w:p w14:paraId="7C46D52E">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五、</w:t>
      </w:r>
      <w:r>
        <w:rPr>
          <w:rFonts w:hint="eastAsia" w:ascii="楷体" w:hAnsi="楷体" w:eastAsia="楷体"/>
          <w:sz w:val="30"/>
          <w:szCs w:val="30"/>
          <w:highlight w:val="none"/>
          <w:lang w:val="en-US" w:eastAsia="zh-CN"/>
        </w:rPr>
        <w:t>其他重要事项情况说明</w:t>
      </w:r>
    </w:p>
    <w:p w14:paraId="5F97E581">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六、相关口径说明</w:t>
      </w:r>
    </w:p>
    <w:p w14:paraId="3313AFB7">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w:t>
      </w:r>
      <w:r>
        <w:rPr>
          <w:rFonts w:hint="eastAsia" w:ascii="黑体" w:hAnsi="黑体" w:eastAsia="黑体"/>
          <w:sz w:val="30"/>
          <w:szCs w:val="30"/>
          <w:highlight w:val="none"/>
          <w:lang w:eastAsia="zh-CN"/>
        </w:rPr>
        <w:t>五</w:t>
      </w:r>
      <w:r>
        <w:rPr>
          <w:rFonts w:hint="eastAsia" w:ascii="黑体" w:hAnsi="黑体" w:eastAsia="黑体"/>
          <w:sz w:val="30"/>
          <w:szCs w:val="30"/>
          <w:highlight w:val="none"/>
        </w:rPr>
        <w:t>部分  名词解释</w:t>
      </w:r>
    </w:p>
    <w:p w14:paraId="503CE150">
      <w:pPr>
        <w:jc w:val="center"/>
        <w:rPr>
          <w:rFonts w:hint="eastAsia" w:ascii="黑体" w:hAnsi="黑体" w:eastAsia="黑体"/>
          <w:sz w:val="32"/>
          <w:szCs w:val="32"/>
          <w:highlight w:val="none"/>
        </w:rPr>
      </w:pPr>
    </w:p>
    <w:p w14:paraId="18204215">
      <w:pPr>
        <w:jc w:val="center"/>
        <w:rPr>
          <w:rFonts w:hint="eastAsia" w:ascii="黑体" w:hAnsi="黑体" w:eastAsia="黑体"/>
          <w:sz w:val="32"/>
          <w:szCs w:val="32"/>
          <w:highlight w:val="none"/>
        </w:rPr>
      </w:pPr>
    </w:p>
    <w:p w14:paraId="716B24BE">
      <w:pPr>
        <w:jc w:val="center"/>
        <w:rPr>
          <w:rFonts w:hint="eastAsia" w:ascii="黑体" w:hAnsi="黑体" w:eastAsia="黑体"/>
          <w:sz w:val="32"/>
          <w:szCs w:val="32"/>
          <w:highlight w:val="none"/>
        </w:rPr>
      </w:pPr>
    </w:p>
    <w:p w14:paraId="0E3DC08D">
      <w:pPr>
        <w:jc w:val="center"/>
        <w:rPr>
          <w:rFonts w:hint="eastAsia" w:ascii="黑体" w:hAnsi="黑体" w:eastAsia="黑体"/>
          <w:sz w:val="32"/>
          <w:szCs w:val="32"/>
          <w:highlight w:val="none"/>
        </w:rPr>
      </w:pPr>
    </w:p>
    <w:p w14:paraId="34A7D804">
      <w:pPr>
        <w:jc w:val="center"/>
        <w:rPr>
          <w:rFonts w:hint="eastAsia" w:ascii="黑体" w:hAnsi="黑体" w:eastAsia="黑体"/>
          <w:sz w:val="32"/>
          <w:szCs w:val="32"/>
          <w:highlight w:val="none"/>
        </w:rPr>
      </w:pPr>
    </w:p>
    <w:p w14:paraId="7A663167">
      <w:pPr>
        <w:jc w:val="center"/>
        <w:rPr>
          <w:rFonts w:hint="eastAsia" w:ascii="黑体" w:hAnsi="黑体" w:eastAsia="黑体"/>
          <w:sz w:val="32"/>
          <w:szCs w:val="32"/>
          <w:highlight w:val="none"/>
        </w:rPr>
      </w:pPr>
    </w:p>
    <w:p w14:paraId="1AB46530">
      <w:pPr>
        <w:jc w:val="center"/>
        <w:rPr>
          <w:rFonts w:hint="eastAsia" w:ascii="黑体" w:hAnsi="黑体" w:eastAsia="黑体"/>
          <w:sz w:val="32"/>
          <w:szCs w:val="32"/>
          <w:highlight w:val="none"/>
        </w:rPr>
      </w:pPr>
    </w:p>
    <w:p w14:paraId="240C0FC2">
      <w:pPr>
        <w:jc w:val="both"/>
        <w:rPr>
          <w:rFonts w:hint="eastAsia" w:ascii="黑体" w:hAnsi="黑体" w:eastAsia="黑体"/>
          <w:sz w:val="32"/>
          <w:szCs w:val="32"/>
          <w:highlight w:val="none"/>
        </w:rPr>
      </w:pPr>
    </w:p>
    <w:p w14:paraId="653D7097">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第一部分  </w:t>
      </w:r>
      <w:r>
        <w:rPr>
          <w:rFonts w:hint="eastAsia" w:ascii="黑体" w:hAnsi="黑体" w:eastAsia="黑体"/>
          <w:sz w:val="32"/>
          <w:szCs w:val="32"/>
          <w:highlight w:val="none"/>
          <w:lang w:eastAsia="zh-CN"/>
        </w:rPr>
        <w:t>单位</w:t>
      </w:r>
      <w:r>
        <w:rPr>
          <w:rFonts w:hint="eastAsia" w:ascii="黑体" w:hAnsi="黑体" w:eastAsia="黑体"/>
          <w:sz w:val="32"/>
          <w:szCs w:val="32"/>
          <w:highlight w:val="none"/>
        </w:rPr>
        <w:t>概况</w:t>
      </w:r>
    </w:p>
    <w:p w14:paraId="00223FBF">
      <w:pPr>
        <w:spacing w:line="600" w:lineRule="exact"/>
        <w:ind w:firstLine="600" w:firstLineChars="200"/>
        <w:outlineLvl w:val="1"/>
        <w:rPr>
          <w:rFonts w:hint="eastAsia" w:ascii="黑体" w:hAnsi="黑体" w:eastAsia="黑体"/>
          <w:sz w:val="30"/>
          <w:szCs w:val="30"/>
          <w:highlight w:val="none"/>
          <w:lang w:eastAsia="zh-CN"/>
        </w:rPr>
      </w:pPr>
      <w:r>
        <w:rPr>
          <w:rFonts w:hint="eastAsia" w:ascii="黑体" w:hAnsi="黑体" w:eastAsia="黑体"/>
          <w:sz w:val="30"/>
          <w:szCs w:val="30"/>
          <w:highlight w:val="none"/>
        </w:rPr>
        <w:t>一、主要</w:t>
      </w:r>
      <w:r>
        <w:rPr>
          <w:rFonts w:hint="eastAsia" w:ascii="黑体" w:hAnsi="黑体" w:eastAsia="黑体"/>
          <w:sz w:val="30"/>
          <w:szCs w:val="30"/>
          <w:highlight w:val="none"/>
          <w:lang w:eastAsia="zh-CN"/>
        </w:rPr>
        <w:t>职责</w:t>
      </w:r>
    </w:p>
    <w:p w14:paraId="009B056A">
      <w:pPr>
        <w:spacing w:line="600" w:lineRule="exact"/>
        <w:ind w:firstLine="600" w:firstLineChars="200"/>
        <w:rPr>
          <w:rFonts w:hint="eastAsia" w:ascii="仿宋_GB2312" w:hAnsi="Times New Roman" w:eastAsia="仿宋_GB2312" w:cs="Times New Roman"/>
          <w:sz w:val="30"/>
          <w:szCs w:val="30"/>
          <w:highlight w:val="none"/>
          <w:lang w:eastAsia="zh-CN"/>
        </w:rPr>
      </w:pPr>
      <w:r>
        <w:rPr>
          <w:rFonts w:hint="eastAsia" w:ascii="仿宋_GB2312" w:eastAsia="仿宋_GB2312"/>
          <w:sz w:val="30"/>
          <w:szCs w:val="30"/>
          <w:highlight w:val="none"/>
          <w:lang w:eastAsia="zh-CN"/>
        </w:rPr>
        <w:t>负责改善农村人居环境、村庄整治、村容村貌提升的指导、服务和技术支撑工作；负责农村社会事业发展、公共服务体系建设和基础设施建设的指导、服务和技术支撑工作；负责农村精神文明和优秀农耕文化建设的业务指导。</w:t>
      </w:r>
    </w:p>
    <w:p w14:paraId="7E8231B1">
      <w:pPr>
        <w:spacing w:line="600" w:lineRule="exact"/>
        <w:ind w:firstLine="600" w:firstLineChars="200"/>
        <w:outlineLvl w:val="1"/>
        <w:rPr>
          <w:rFonts w:hint="eastAsia" w:ascii="黑体" w:hAnsi="黑体" w:eastAsia="黑体"/>
          <w:sz w:val="30"/>
          <w:szCs w:val="30"/>
          <w:highlight w:val="none"/>
        </w:rPr>
      </w:pPr>
      <w:r>
        <w:rPr>
          <w:rFonts w:hint="eastAsia" w:ascii="黑体" w:hAnsi="黑体" w:eastAsia="黑体"/>
          <w:sz w:val="30"/>
          <w:szCs w:val="30"/>
          <w:highlight w:val="none"/>
        </w:rPr>
        <w:t>二、基本情况</w:t>
      </w:r>
    </w:p>
    <w:p w14:paraId="5F35B00E">
      <w:pPr>
        <w:spacing w:line="600" w:lineRule="exact"/>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rPr>
        <w:t>（一）机构设置情况</w:t>
      </w:r>
    </w:p>
    <w:p w14:paraId="287886F5">
      <w:pPr>
        <w:spacing w:line="600" w:lineRule="exact"/>
        <w:ind w:firstLine="600" w:firstLineChars="200"/>
        <w:rPr>
          <w:rFonts w:hint="default"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我单位共设置0个内设机构。</w:t>
      </w:r>
    </w:p>
    <w:p w14:paraId="7F5F6EC3">
      <w:pPr>
        <w:spacing w:line="600" w:lineRule="exact"/>
        <w:ind w:firstLine="600" w:firstLineChars="200"/>
        <w:outlineLvl w:val="2"/>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我单位为基层预算单位，无下属单位。</w:t>
      </w:r>
    </w:p>
    <w:p w14:paraId="2E8D3C0C">
      <w:pPr>
        <w:spacing w:line="600" w:lineRule="exact"/>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决算单位构成</w:t>
      </w:r>
    </w:p>
    <w:p w14:paraId="0F751459">
      <w:pPr>
        <w:spacing w:line="600" w:lineRule="exact"/>
        <w:ind w:firstLine="600" w:firstLineChars="200"/>
        <w:rPr>
          <w:rFonts w:hint="eastAsia" w:ascii="仿宋_GB2312" w:eastAsia="仿宋_GB2312"/>
          <w:sz w:val="30"/>
          <w:szCs w:val="30"/>
          <w:highlight w:val="none"/>
        </w:rPr>
      </w:pPr>
      <w:r>
        <w:rPr>
          <w:rFonts w:hint="eastAsia" w:ascii="仿宋_GB2312" w:eastAsia="仿宋_GB2312"/>
          <w:sz w:val="30"/>
          <w:szCs w:val="30"/>
          <w:highlight w:val="none"/>
          <w:lang w:eastAsia="zh-CN"/>
        </w:rPr>
        <w:t>我单位作为华宁县农业农村局</w:t>
      </w:r>
      <w:r>
        <w:rPr>
          <w:rFonts w:hint="eastAsia" w:ascii="仿宋_GB2312" w:eastAsia="仿宋_GB2312"/>
          <w:sz w:val="30"/>
          <w:szCs w:val="30"/>
          <w:highlight w:val="none"/>
          <w:lang w:val="en-US" w:eastAsia="zh-CN"/>
        </w:rPr>
        <w:t>的</w:t>
      </w:r>
      <w:r>
        <w:rPr>
          <w:rFonts w:hint="eastAsia" w:ascii="仿宋_GB2312" w:eastAsia="仿宋_GB2312"/>
          <w:sz w:val="30"/>
          <w:szCs w:val="30"/>
          <w:highlight w:val="none"/>
          <w:lang w:eastAsia="zh-CN"/>
        </w:rPr>
        <w:t>二级预算单位</w:t>
      </w:r>
      <w:r>
        <w:rPr>
          <w:rFonts w:hint="eastAsia" w:ascii="仿宋_GB2312" w:eastAsia="仿宋_GB2312"/>
          <w:sz w:val="30"/>
          <w:szCs w:val="30"/>
          <w:highlight w:val="none"/>
        </w:rPr>
        <w:t>纳入</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部门决算编报</w:t>
      </w:r>
      <w:r>
        <w:rPr>
          <w:rFonts w:hint="eastAsia" w:ascii="仿宋_GB2312" w:eastAsia="仿宋_GB2312"/>
          <w:sz w:val="30"/>
          <w:szCs w:val="30"/>
          <w:highlight w:val="none"/>
          <w:lang w:eastAsia="zh-CN"/>
        </w:rPr>
        <w:t>范围</w:t>
      </w:r>
      <w:r>
        <w:rPr>
          <w:rFonts w:hint="eastAsia" w:ascii="仿宋_GB2312" w:eastAsia="仿宋_GB2312"/>
          <w:sz w:val="30"/>
          <w:szCs w:val="30"/>
          <w:highlight w:val="none"/>
        </w:rPr>
        <w:t>。</w:t>
      </w:r>
    </w:p>
    <w:p w14:paraId="6443FB7B">
      <w:pPr>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rPr>
        <w:t>（</w:t>
      </w:r>
      <w:r>
        <w:rPr>
          <w:rFonts w:hint="eastAsia" w:ascii="楷体" w:hAnsi="楷体" w:eastAsia="楷体"/>
          <w:sz w:val="30"/>
          <w:szCs w:val="30"/>
          <w:highlight w:val="none"/>
          <w:lang w:eastAsia="zh-CN"/>
        </w:rPr>
        <w:t>三</w:t>
      </w:r>
      <w:r>
        <w:rPr>
          <w:rFonts w:hint="eastAsia" w:ascii="楷体" w:hAnsi="楷体" w:eastAsia="楷体"/>
          <w:sz w:val="30"/>
          <w:szCs w:val="30"/>
          <w:highlight w:val="none"/>
        </w:rPr>
        <w:t>）</w:t>
      </w:r>
      <w:r>
        <w:rPr>
          <w:rFonts w:hint="eastAsia" w:ascii="楷体" w:hAnsi="楷体" w:eastAsia="楷体"/>
          <w:sz w:val="30"/>
          <w:szCs w:val="30"/>
          <w:highlight w:val="none"/>
          <w:lang w:eastAsia="zh-CN"/>
        </w:rPr>
        <w:t>单位</w:t>
      </w:r>
      <w:r>
        <w:rPr>
          <w:rFonts w:hint="eastAsia" w:ascii="楷体" w:hAnsi="楷体" w:eastAsia="楷体"/>
          <w:sz w:val="30"/>
          <w:szCs w:val="30"/>
          <w:highlight w:val="none"/>
        </w:rPr>
        <w:t xml:space="preserve">人员和车辆的编制及实有情况 </w:t>
      </w:r>
    </w:p>
    <w:p w14:paraId="03E13067">
      <w:pPr>
        <w:spacing w:line="600" w:lineRule="exact"/>
        <w:ind w:firstLine="600" w:firstLineChars="200"/>
        <w:rPr>
          <w:rFonts w:hint="eastAsia" w:ascii="仿宋_GB2312" w:hAnsi="宋体" w:eastAsia="仿宋_GB2312" w:cs="Arial"/>
          <w:kern w:val="0"/>
          <w:sz w:val="30"/>
          <w:szCs w:val="30"/>
          <w:highlight w:val="none"/>
          <w:lang w:eastAsia="zh-CN"/>
        </w:rPr>
      </w:pPr>
      <w:r>
        <w:rPr>
          <w:rFonts w:hint="eastAsia" w:ascii="仿宋_GB2312" w:eastAsia="仿宋_GB2312"/>
          <w:sz w:val="30"/>
          <w:szCs w:val="30"/>
          <w:highlight w:val="none"/>
          <w:lang w:eastAsia="zh-CN"/>
        </w:rPr>
        <w:t>我单位</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年末</w:t>
      </w:r>
      <w:r>
        <w:rPr>
          <w:rFonts w:hint="eastAsia" w:ascii="仿宋_GB2312" w:eastAsia="仿宋_GB2312"/>
          <w:sz w:val="30"/>
          <w:szCs w:val="30"/>
          <w:highlight w:val="none"/>
          <w:lang w:eastAsia="zh-CN"/>
        </w:rPr>
        <w:t>编制内</w:t>
      </w:r>
      <w:r>
        <w:rPr>
          <w:rFonts w:hint="eastAsia" w:ascii="仿宋_GB2312" w:eastAsia="仿宋_GB2312"/>
          <w:sz w:val="30"/>
          <w:szCs w:val="30"/>
          <w:highlight w:val="none"/>
        </w:rPr>
        <w:t>实有人员</w:t>
      </w:r>
      <w:r>
        <w:rPr>
          <w:rFonts w:hint="eastAsia" w:ascii="仿宋_GB2312" w:hAnsi="仿宋_GB2312" w:eastAsia="仿宋_GB2312" w:cs="仿宋_GB2312"/>
          <w:color w:val="auto"/>
          <w:sz w:val="30"/>
          <w:szCs w:val="30"/>
          <w:lang w:val="en-US" w:eastAsia="zh-CN"/>
        </w:rPr>
        <w:t>15</w:t>
      </w:r>
      <w:r>
        <w:rPr>
          <w:rFonts w:hint="eastAsia" w:ascii="仿宋_GB2312" w:hAnsi="宋体" w:eastAsia="仿宋_GB2312" w:cs="Arial"/>
          <w:kern w:val="0"/>
          <w:sz w:val="30"/>
          <w:szCs w:val="30"/>
          <w:highlight w:val="none"/>
        </w:rPr>
        <w:t>人。</w:t>
      </w:r>
      <w:r>
        <w:rPr>
          <w:rFonts w:hint="eastAsia" w:ascii="仿宋_GB2312" w:hAnsi="宋体" w:eastAsia="仿宋_GB2312" w:cs="Arial"/>
          <w:b w:val="0"/>
          <w:bCs w:val="0"/>
          <w:kern w:val="0"/>
          <w:sz w:val="30"/>
          <w:szCs w:val="30"/>
          <w:highlight w:val="none"/>
          <w:lang w:eastAsia="zh-CN"/>
        </w:rPr>
        <w:t>包括</w:t>
      </w:r>
      <w:r>
        <w:rPr>
          <w:rFonts w:hint="eastAsia" w:ascii="仿宋_GB2312" w:hAnsi="宋体" w:eastAsia="仿宋_GB2312" w:cs="Arial"/>
          <w:kern w:val="0"/>
          <w:sz w:val="30"/>
          <w:szCs w:val="30"/>
          <w:highlight w:val="none"/>
          <w:lang w:eastAsia="zh-CN"/>
        </w:rPr>
        <w:t>财政拨款开支经费的</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公务员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参照公务员法管理人员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事业管理人员和专业技术人员</w:t>
      </w:r>
      <w:r>
        <w:rPr>
          <w:rFonts w:hint="eastAsia" w:ascii="仿宋_GB2312" w:hAnsi="仿宋_GB2312" w:eastAsia="仿宋_GB2312" w:cs="仿宋_GB2312"/>
          <w:color w:val="auto"/>
          <w:sz w:val="30"/>
          <w:szCs w:val="30"/>
          <w:lang w:val="en-US" w:eastAsia="zh-CN"/>
        </w:rPr>
        <w:t>14</w:t>
      </w:r>
      <w:r>
        <w:rPr>
          <w:rFonts w:hint="eastAsia" w:ascii="仿宋_GB2312" w:hAnsi="宋体" w:eastAsia="仿宋_GB2312" w:cs="Arial"/>
          <w:kern w:val="0"/>
          <w:sz w:val="30"/>
          <w:szCs w:val="30"/>
          <w:highlight w:val="none"/>
        </w:rPr>
        <w:t>人，机关和事业工人</w:t>
      </w:r>
      <w:r>
        <w:rPr>
          <w:rFonts w:hint="eastAsia" w:ascii="仿宋_GB2312" w:hAnsi="仿宋_GB2312" w:eastAsia="仿宋_GB2312" w:cs="仿宋_GB2312"/>
          <w:color w:val="auto"/>
          <w:sz w:val="30"/>
          <w:szCs w:val="30"/>
          <w:lang w:val="en-US" w:eastAsia="zh-CN"/>
        </w:rPr>
        <w:t>1</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；经费自理人员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p>
    <w:p w14:paraId="217A71AE">
      <w:pPr>
        <w:spacing w:line="600" w:lineRule="exact"/>
        <w:ind w:firstLine="600" w:firstLineChars="200"/>
        <w:rPr>
          <w:rFonts w:hint="eastAsia" w:ascii="仿宋_GB2312" w:hAnsi="宋体" w:eastAsia="仿宋_GB2312" w:cs="Arial"/>
          <w:kern w:val="0"/>
          <w:sz w:val="30"/>
          <w:szCs w:val="30"/>
          <w:highlight w:val="none"/>
          <w:lang w:val="en-US" w:eastAsia="zh-CN"/>
        </w:rPr>
      </w:pPr>
      <w:r>
        <w:rPr>
          <w:rFonts w:hint="eastAsia" w:ascii="仿宋_GB2312" w:eastAsia="仿宋_GB2312"/>
          <w:sz w:val="30"/>
          <w:szCs w:val="30"/>
          <w:highlight w:val="none"/>
          <w:lang w:eastAsia="zh-CN"/>
        </w:rPr>
        <w:t>我单位</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年末</w:t>
      </w:r>
      <w:r>
        <w:rPr>
          <w:rFonts w:hint="eastAsia" w:ascii="仿宋_GB2312" w:eastAsia="仿宋_GB2312"/>
          <w:sz w:val="30"/>
          <w:szCs w:val="30"/>
          <w:highlight w:val="none"/>
          <w:lang w:eastAsia="zh-CN"/>
        </w:rPr>
        <w:t>其他人员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val="en-US" w:eastAsia="zh-CN"/>
        </w:rPr>
        <w:t>人。包括财政拨款开支经费的人员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eastAsia="zh-CN"/>
        </w:rPr>
        <w:t>人；经费自理人员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eastAsia="zh-CN"/>
        </w:rPr>
        <w:t>人。</w:t>
      </w:r>
    </w:p>
    <w:p w14:paraId="434497C2">
      <w:pPr>
        <w:spacing w:line="600" w:lineRule="exact"/>
        <w:ind w:firstLine="600" w:firstLineChars="200"/>
        <w:rPr>
          <w:rFonts w:hint="default" w:ascii="仿宋_GB2312" w:hAnsi="宋体" w:eastAsia="仿宋_GB2312" w:cs="Arial"/>
          <w:color w:val="FF0000"/>
          <w:kern w:val="0"/>
          <w:sz w:val="30"/>
          <w:szCs w:val="30"/>
          <w:highlight w:val="none"/>
          <w:lang w:val="en-US" w:eastAsia="zh-CN"/>
        </w:rPr>
      </w:pPr>
      <w:r>
        <w:rPr>
          <w:rFonts w:hint="eastAsia" w:ascii="仿宋_GB2312" w:hAnsi="宋体" w:eastAsia="仿宋_GB2312" w:cs="Arial"/>
          <w:i w:val="0"/>
          <w:iCs w:val="0"/>
          <w:kern w:val="0"/>
          <w:sz w:val="30"/>
          <w:szCs w:val="30"/>
          <w:highlight w:val="none"/>
          <w:lang w:eastAsia="zh-CN"/>
        </w:rPr>
        <w:t>年末单位发放离退休费的</w:t>
      </w:r>
      <w:r>
        <w:rPr>
          <w:rFonts w:hint="eastAsia" w:ascii="仿宋_GB2312" w:hAnsi="宋体" w:eastAsia="仿宋_GB2312" w:cs="Arial"/>
          <w:i w:val="0"/>
          <w:iCs w:val="0"/>
          <w:strike w:val="0"/>
          <w:dstrike w:val="0"/>
          <w:color w:val="auto"/>
          <w:kern w:val="0"/>
          <w:sz w:val="30"/>
          <w:szCs w:val="30"/>
          <w:highlight w:val="none"/>
        </w:rPr>
        <w:t>离</w:t>
      </w:r>
      <w:r>
        <w:rPr>
          <w:rFonts w:hint="eastAsia" w:ascii="仿宋_GB2312" w:hAnsi="宋体" w:eastAsia="仿宋_GB2312" w:cs="Arial"/>
          <w:i w:val="0"/>
          <w:iCs w:val="0"/>
          <w:kern w:val="0"/>
          <w:sz w:val="30"/>
          <w:szCs w:val="30"/>
          <w:highlight w:val="none"/>
        </w:rPr>
        <w:t>退休人员</w:t>
      </w:r>
      <w:r>
        <w:rPr>
          <w:rFonts w:hint="eastAsia" w:ascii="仿宋_GB2312" w:hAnsi="宋体" w:eastAsia="仿宋_GB2312" w:cs="Arial"/>
          <w:i w:val="0"/>
          <w:iCs w:val="0"/>
          <w:kern w:val="0"/>
          <w:sz w:val="30"/>
          <w:szCs w:val="30"/>
          <w:highlight w:val="none"/>
          <w:lang w:eastAsia="zh-CN"/>
        </w:rPr>
        <w:t>共计</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人，退休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）。年末</w:t>
      </w:r>
      <w:r>
        <w:rPr>
          <w:rFonts w:hint="eastAsia" w:ascii="仿宋_GB2312" w:hAnsi="宋体" w:eastAsia="仿宋_GB2312" w:cs="Arial"/>
          <w:kern w:val="0"/>
          <w:sz w:val="30"/>
          <w:szCs w:val="30"/>
          <w:highlight w:val="none"/>
        </w:rPr>
        <w:t>由养老保险基金发放养老金的离退休人员</w:t>
      </w:r>
      <w:r>
        <w:rPr>
          <w:rFonts w:hint="eastAsia" w:ascii="仿宋_GB2312" w:hAnsi="仿宋_GB2312" w:eastAsia="仿宋_GB2312" w:cs="仿宋_GB2312"/>
          <w:color w:val="auto"/>
          <w:sz w:val="30"/>
          <w:szCs w:val="30"/>
          <w:lang w:val="en-US" w:eastAsia="zh-CN"/>
        </w:rPr>
        <w:t>16</w:t>
      </w:r>
      <w:r>
        <w:rPr>
          <w:rFonts w:hint="eastAsia" w:ascii="仿宋_GB2312" w:hAnsi="宋体" w:eastAsia="仿宋_GB2312" w:cs="Arial"/>
          <w:kern w:val="0"/>
          <w:sz w:val="30"/>
          <w:szCs w:val="30"/>
          <w:highlight w:val="none"/>
          <w:lang w:val="en-US" w:eastAsia="zh-CN"/>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人，退休</w:t>
      </w:r>
      <w:r>
        <w:rPr>
          <w:rFonts w:hint="eastAsia" w:ascii="仿宋_GB2312" w:hAnsi="仿宋_GB2312" w:eastAsia="仿宋_GB2312" w:cs="仿宋_GB2312"/>
          <w:color w:val="auto"/>
          <w:sz w:val="30"/>
          <w:szCs w:val="30"/>
          <w:lang w:val="en-US" w:eastAsia="zh-CN"/>
        </w:rPr>
        <w:t>16</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val="en-US" w:eastAsia="zh-CN"/>
        </w:rPr>
        <w:t>年末遗属</w:t>
      </w:r>
      <w:r>
        <w:rPr>
          <w:rFonts w:hint="eastAsia" w:ascii="仿宋_GB2312" w:hAnsi="仿宋_GB2312" w:eastAsia="仿宋_GB2312" w:cs="仿宋_GB2312"/>
          <w:color w:val="auto"/>
          <w:sz w:val="30"/>
          <w:szCs w:val="30"/>
          <w:lang w:val="en-US" w:eastAsia="zh-CN"/>
        </w:rPr>
        <w:t>1</w:t>
      </w:r>
      <w:r>
        <w:rPr>
          <w:rFonts w:hint="eastAsia" w:ascii="仿宋_GB2312" w:hAnsi="宋体" w:eastAsia="仿宋_GB2312" w:cs="Arial"/>
          <w:kern w:val="0"/>
          <w:sz w:val="30"/>
          <w:szCs w:val="30"/>
          <w:highlight w:val="none"/>
          <w:lang w:val="en-US" w:eastAsia="zh-CN"/>
        </w:rPr>
        <w:t>人。</w:t>
      </w:r>
    </w:p>
    <w:p w14:paraId="2B599493">
      <w:pPr>
        <w:spacing w:line="600" w:lineRule="exact"/>
        <w:ind w:firstLine="600" w:firstLineChars="200"/>
        <w:rPr>
          <w:rFonts w:hint="eastAsia" w:ascii="仿宋_GB2312" w:hAnsi="宋体" w:eastAsia="仿宋_GB2312" w:cs="Arial"/>
          <w:color w:val="FF0000"/>
          <w:kern w:val="0"/>
          <w:sz w:val="30"/>
          <w:szCs w:val="30"/>
          <w:highlight w:val="none"/>
        </w:rPr>
      </w:pPr>
      <w:r>
        <w:rPr>
          <w:rFonts w:hint="eastAsia" w:ascii="仿宋_GB2312" w:hAnsi="仿宋_GB2312" w:eastAsia="仿宋_GB2312" w:cs="仿宋_GB2312"/>
          <w:b w:val="0"/>
          <w:bCs w:val="0"/>
          <w:sz w:val="30"/>
          <w:szCs w:val="30"/>
          <w:highlight w:val="none"/>
          <w:u w:val="none"/>
          <w:lang w:val="en-US" w:eastAsia="zh-CN"/>
        </w:rPr>
        <w:t>车辆编制1辆，在编实有车辆1辆，超编0辆。</w:t>
      </w:r>
    </w:p>
    <w:p w14:paraId="3FA6779A">
      <w:pPr>
        <w:numPr>
          <w:ilvl w:val="0"/>
          <w:numId w:val="1"/>
        </w:numPr>
        <w:spacing w:line="600" w:lineRule="exact"/>
        <w:ind w:firstLine="600" w:firstLineChars="200"/>
        <w:outlineLvl w:val="1"/>
        <w:rPr>
          <w:rFonts w:hint="eastAsia" w:ascii="黑体" w:hAnsi="黑体" w:eastAsia="黑体"/>
          <w:sz w:val="30"/>
          <w:szCs w:val="30"/>
          <w:highlight w:val="none"/>
          <w:lang w:eastAsia="zh-CN"/>
        </w:rPr>
      </w:pPr>
      <w:r>
        <w:rPr>
          <w:rFonts w:hint="eastAsia" w:ascii="黑体" w:hAnsi="黑体" w:eastAsia="黑体"/>
          <w:sz w:val="30"/>
          <w:szCs w:val="30"/>
          <w:highlight w:val="none"/>
          <w:lang w:eastAsia="zh-CN"/>
        </w:rPr>
        <w:t>重点工作概述</w:t>
      </w:r>
    </w:p>
    <w:p w14:paraId="28A792FD">
      <w:pPr>
        <w:spacing w:line="600" w:lineRule="exact"/>
        <w:ind w:firstLine="600" w:firstLineChars="200"/>
        <w:rPr>
          <w:rFonts w:hint="eastAsia" w:ascii="仿宋_GB2312" w:hAnsi="Times New Roman" w:eastAsia="仿宋_GB2312" w:cs="Times New Roman"/>
          <w:sz w:val="30"/>
          <w:szCs w:val="30"/>
          <w:highlight w:val="none"/>
          <w:lang w:val="zh-CN" w:eastAsia="zh-CN"/>
        </w:rPr>
      </w:pPr>
      <w:r>
        <w:rPr>
          <w:rFonts w:hint="eastAsia" w:ascii="仿宋_GB2312" w:hAnsi="Times New Roman" w:eastAsia="仿宋_GB2312" w:cs="Times New Roman"/>
          <w:sz w:val="30"/>
          <w:szCs w:val="30"/>
          <w:highlight w:val="none"/>
          <w:lang w:val="en-US" w:eastAsia="zh-CN"/>
        </w:rPr>
        <w:t>累计安全处置报废户用沼气设施1</w:t>
      </w:r>
      <w:r>
        <w:rPr>
          <w:rFonts w:hint="eastAsia" w:ascii="仿宋_GB2312" w:eastAsia="仿宋_GB2312" w:cs="Times New Roman"/>
          <w:sz w:val="30"/>
          <w:szCs w:val="30"/>
          <w:highlight w:val="none"/>
          <w:lang w:val="en-US" w:eastAsia="zh-CN"/>
        </w:rPr>
        <w:t>3,793口</w:t>
      </w:r>
      <w:r>
        <w:rPr>
          <w:rFonts w:hint="eastAsia" w:ascii="仿宋_GB2312" w:hAnsi="Times New Roman" w:eastAsia="仿宋_GB2312" w:cs="Times New Roman"/>
          <w:sz w:val="30"/>
          <w:szCs w:val="30"/>
          <w:highlight w:val="none"/>
          <w:lang w:val="en-US" w:eastAsia="zh-CN"/>
        </w:rPr>
        <w:t>，盘活改造</w:t>
      </w:r>
      <w:r>
        <w:rPr>
          <w:rFonts w:hint="eastAsia" w:ascii="仿宋_GB2312" w:eastAsia="仿宋_GB2312" w:cs="Times New Roman"/>
          <w:sz w:val="30"/>
          <w:szCs w:val="30"/>
          <w:highlight w:val="none"/>
          <w:lang w:val="en-US" w:eastAsia="zh-CN"/>
        </w:rPr>
        <w:t>5,367口</w:t>
      </w:r>
      <w:r>
        <w:rPr>
          <w:rFonts w:hint="eastAsia" w:ascii="仿宋_GB2312" w:hAnsi="Times New Roman" w:eastAsia="仿宋_GB2312" w:cs="Times New Roman"/>
          <w:sz w:val="30"/>
          <w:szCs w:val="30"/>
          <w:highlight w:val="none"/>
          <w:lang w:val="en-US" w:eastAsia="zh-CN"/>
        </w:rPr>
        <w:t>；</w:t>
      </w:r>
      <w:r>
        <w:rPr>
          <w:rFonts w:hint="eastAsia" w:ascii="仿宋_GB2312" w:hAnsi="Times New Roman" w:eastAsia="仿宋_GB2312" w:cs="Times New Roman"/>
          <w:sz w:val="30"/>
          <w:szCs w:val="30"/>
          <w:highlight w:val="none"/>
          <w:lang w:val="zh-CN" w:eastAsia="zh-CN"/>
        </w:rPr>
        <w:t>完成</w:t>
      </w:r>
      <w:r>
        <w:rPr>
          <w:rFonts w:hint="eastAsia" w:ascii="仿宋_GB2312" w:hAnsi="Times New Roman" w:eastAsia="仿宋_GB2312" w:cs="Times New Roman"/>
          <w:sz w:val="30"/>
          <w:szCs w:val="30"/>
          <w:highlight w:val="none"/>
          <w:lang w:val="en-US" w:eastAsia="zh-CN"/>
        </w:rPr>
        <w:t>卫生公厕</w:t>
      </w:r>
      <w:r>
        <w:rPr>
          <w:rFonts w:hint="eastAsia" w:ascii="仿宋_GB2312" w:hAnsi="Times New Roman" w:eastAsia="仿宋_GB2312" w:cs="Times New Roman"/>
          <w:sz w:val="30"/>
          <w:szCs w:val="30"/>
          <w:highlight w:val="none"/>
          <w:lang w:val="zh-CN" w:eastAsia="zh-CN"/>
        </w:rPr>
        <w:t>建设</w:t>
      </w:r>
      <w:r>
        <w:rPr>
          <w:rFonts w:hint="eastAsia" w:ascii="仿宋_GB2312" w:hAnsi="Times New Roman" w:eastAsia="仿宋_GB2312" w:cs="Times New Roman"/>
          <w:sz w:val="30"/>
          <w:szCs w:val="30"/>
          <w:highlight w:val="none"/>
          <w:lang w:val="en-US" w:eastAsia="zh-CN"/>
        </w:rPr>
        <w:t>26座</w:t>
      </w:r>
      <w:r>
        <w:rPr>
          <w:rFonts w:hint="eastAsia" w:ascii="仿宋_GB2312" w:hAnsi="Times New Roman" w:eastAsia="仿宋_GB2312" w:cs="Times New Roman"/>
          <w:sz w:val="30"/>
          <w:szCs w:val="30"/>
          <w:highlight w:val="none"/>
          <w:lang w:val="zh-CN" w:eastAsia="zh-CN"/>
        </w:rPr>
        <w:t>，完成率</w:t>
      </w:r>
      <w:r>
        <w:rPr>
          <w:rFonts w:hint="eastAsia" w:ascii="仿宋_GB2312" w:hAnsi="Times New Roman" w:eastAsia="仿宋_GB2312" w:cs="Times New Roman"/>
          <w:sz w:val="30"/>
          <w:szCs w:val="30"/>
          <w:highlight w:val="none"/>
          <w:lang w:val="en-US" w:eastAsia="zh-CN"/>
        </w:rPr>
        <w:t>100%；开展农村改厕技术服务和宣传培训225次，培训人数</w:t>
      </w:r>
      <w:r>
        <w:rPr>
          <w:rFonts w:hint="eastAsia" w:ascii="仿宋_GB2312" w:eastAsia="仿宋_GB2312" w:cs="Times New Roman"/>
          <w:sz w:val="30"/>
          <w:szCs w:val="30"/>
          <w:highlight w:val="none"/>
          <w:lang w:val="en-US" w:eastAsia="zh-CN"/>
        </w:rPr>
        <w:t>3,705人</w:t>
      </w:r>
      <w:r>
        <w:rPr>
          <w:rFonts w:hint="eastAsia" w:ascii="仿宋_GB2312" w:hAnsi="Times New Roman" w:eastAsia="仿宋_GB2312" w:cs="Times New Roman"/>
          <w:sz w:val="30"/>
          <w:szCs w:val="30"/>
          <w:highlight w:val="none"/>
          <w:lang w:val="en-US" w:eastAsia="zh-CN"/>
        </w:rPr>
        <w:t>次；完成整改“问题户厕”59座，问题公厕”5座；</w:t>
      </w:r>
      <w:r>
        <w:rPr>
          <w:rFonts w:hint="eastAsia" w:ascii="仿宋_GB2312" w:hAnsi="Times New Roman" w:eastAsia="仿宋_GB2312" w:cs="Times New Roman"/>
          <w:sz w:val="30"/>
          <w:szCs w:val="30"/>
          <w:highlight w:val="none"/>
          <w:lang w:val="zh-CN" w:eastAsia="zh-CN"/>
        </w:rPr>
        <w:t>推动第四轮农村“六必拆”，</w:t>
      </w:r>
      <w:r>
        <w:rPr>
          <w:rFonts w:hint="eastAsia" w:ascii="仿宋_GB2312" w:hAnsi="Times New Roman" w:eastAsia="仿宋_GB2312" w:cs="Times New Roman"/>
          <w:sz w:val="30"/>
          <w:szCs w:val="30"/>
          <w:highlight w:val="none"/>
          <w:lang w:val="en-US" w:eastAsia="zh-CN"/>
        </w:rPr>
        <w:t>拆除551宗，占地面积5</w:t>
      </w:r>
      <w:r>
        <w:rPr>
          <w:rFonts w:hint="eastAsia" w:ascii="仿宋_GB2312" w:eastAsia="仿宋_GB2312" w:cs="Times New Roman"/>
          <w:sz w:val="30"/>
          <w:szCs w:val="30"/>
          <w:highlight w:val="none"/>
          <w:lang w:val="en-US" w:eastAsia="zh-CN"/>
        </w:rPr>
        <w:t>5,600平</w:t>
      </w:r>
      <w:r>
        <w:rPr>
          <w:rFonts w:hint="eastAsia" w:ascii="仿宋_GB2312" w:hAnsi="Times New Roman" w:eastAsia="仿宋_GB2312" w:cs="Times New Roman"/>
          <w:sz w:val="30"/>
          <w:szCs w:val="30"/>
          <w:highlight w:val="none"/>
          <w:lang w:val="en-US" w:eastAsia="zh-CN"/>
        </w:rPr>
        <w:t>方米，建筑面积8</w:t>
      </w:r>
      <w:r>
        <w:rPr>
          <w:rFonts w:hint="eastAsia" w:ascii="仿宋_GB2312" w:eastAsia="仿宋_GB2312" w:cs="Times New Roman"/>
          <w:sz w:val="30"/>
          <w:szCs w:val="30"/>
          <w:highlight w:val="none"/>
          <w:lang w:val="en-US" w:eastAsia="zh-CN"/>
        </w:rPr>
        <w:t>2,689平</w:t>
      </w:r>
      <w:r>
        <w:rPr>
          <w:rFonts w:hint="eastAsia" w:ascii="仿宋_GB2312" w:hAnsi="Times New Roman" w:eastAsia="仿宋_GB2312" w:cs="Times New Roman"/>
          <w:sz w:val="30"/>
          <w:szCs w:val="30"/>
          <w:highlight w:val="none"/>
          <w:lang w:val="en-US" w:eastAsia="zh-CN"/>
        </w:rPr>
        <w:t>方米；</w:t>
      </w:r>
      <w:r>
        <w:rPr>
          <w:rFonts w:hint="default" w:ascii="仿宋_GB2312" w:hAnsi="Times New Roman" w:eastAsia="仿宋_GB2312" w:cs="Times New Roman"/>
          <w:sz w:val="30"/>
          <w:szCs w:val="30"/>
          <w:highlight w:val="none"/>
          <w:lang w:val="en-US" w:eastAsia="zh-CN"/>
        </w:rPr>
        <w:t>建成</w:t>
      </w:r>
      <w:r>
        <w:rPr>
          <w:rFonts w:hint="eastAsia" w:ascii="仿宋_GB2312" w:hAnsi="Times New Roman" w:eastAsia="仿宋_GB2312" w:cs="Times New Roman"/>
          <w:sz w:val="30"/>
          <w:szCs w:val="30"/>
          <w:highlight w:val="none"/>
          <w:lang w:val="en-US" w:eastAsia="zh-CN"/>
        </w:rPr>
        <w:t>“</w:t>
      </w:r>
      <w:r>
        <w:rPr>
          <w:rFonts w:hint="default" w:ascii="仿宋_GB2312" w:hAnsi="Times New Roman" w:eastAsia="仿宋_GB2312" w:cs="Times New Roman"/>
          <w:sz w:val="30"/>
          <w:szCs w:val="30"/>
          <w:highlight w:val="none"/>
          <w:lang w:val="en-US" w:eastAsia="zh-CN"/>
        </w:rPr>
        <w:t>千万工程</w:t>
      </w:r>
      <w:r>
        <w:rPr>
          <w:rFonts w:hint="eastAsia" w:ascii="仿宋_GB2312" w:hAnsi="Times New Roman" w:eastAsia="仿宋_GB2312" w:cs="Times New Roman"/>
          <w:sz w:val="30"/>
          <w:szCs w:val="30"/>
          <w:highlight w:val="none"/>
          <w:lang w:val="en-US" w:eastAsia="zh-CN"/>
        </w:rPr>
        <w:t>”振兴</w:t>
      </w:r>
      <w:r>
        <w:rPr>
          <w:rFonts w:hint="default" w:ascii="仿宋_GB2312" w:hAnsi="Times New Roman" w:eastAsia="仿宋_GB2312" w:cs="Times New Roman"/>
          <w:sz w:val="30"/>
          <w:szCs w:val="30"/>
          <w:highlight w:val="none"/>
          <w:lang w:val="en-US" w:eastAsia="zh-CN"/>
        </w:rPr>
        <w:t>村</w:t>
      </w:r>
      <w:r>
        <w:rPr>
          <w:rFonts w:hint="eastAsia" w:ascii="仿宋_GB2312" w:hAnsi="Times New Roman" w:eastAsia="仿宋_GB2312" w:cs="Times New Roman"/>
          <w:sz w:val="30"/>
          <w:szCs w:val="30"/>
          <w:highlight w:val="none"/>
          <w:lang w:val="en-US" w:eastAsia="zh-CN"/>
        </w:rPr>
        <w:t>2</w:t>
      </w:r>
      <w:r>
        <w:rPr>
          <w:rFonts w:hint="default" w:ascii="仿宋_GB2312" w:hAnsi="Times New Roman" w:eastAsia="仿宋_GB2312" w:cs="Times New Roman"/>
          <w:sz w:val="30"/>
          <w:szCs w:val="30"/>
          <w:highlight w:val="none"/>
          <w:lang w:val="en-US" w:eastAsia="zh-CN"/>
        </w:rPr>
        <w:t>个、提升村</w:t>
      </w:r>
      <w:r>
        <w:rPr>
          <w:rFonts w:hint="eastAsia" w:ascii="仿宋_GB2312" w:hAnsi="Times New Roman" w:eastAsia="仿宋_GB2312" w:cs="Times New Roman"/>
          <w:sz w:val="30"/>
          <w:szCs w:val="30"/>
          <w:highlight w:val="none"/>
          <w:lang w:val="en-US" w:eastAsia="zh-CN"/>
        </w:rPr>
        <w:t>26</w:t>
      </w:r>
      <w:r>
        <w:rPr>
          <w:rFonts w:hint="default" w:ascii="仿宋_GB2312" w:hAnsi="Times New Roman" w:eastAsia="仿宋_GB2312" w:cs="Times New Roman"/>
          <w:sz w:val="30"/>
          <w:szCs w:val="30"/>
          <w:highlight w:val="none"/>
          <w:lang w:val="en-US" w:eastAsia="zh-CN"/>
        </w:rPr>
        <w:t>个</w:t>
      </w:r>
      <w:r>
        <w:rPr>
          <w:rFonts w:hint="eastAsia" w:ascii="仿宋_GB2312" w:hAnsi="Times New Roman" w:eastAsia="仿宋_GB2312" w:cs="Times New Roman"/>
          <w:sz w:val="30"/>
          <w:szCs w:val="30"/>
          <w:highlight w:val="none"/>
          <w:lang w:val="en-US" w:eastAsia="zh-CN"/>
        </w:rPr>
        <w:t>，农文旅融合发展重点村1个，美丽庭院</w:t>
      </w:r>
      <w:r>
        <w:rPr>
          <w:rFonts w:hint="eastAsia" w:ascii="仿宋_GB2312" w:eastAsia="仿宋_GB2312" w:cs="Times New Roman"/>
          <w:sz w:val="30"/>
          <w:szCs w:val="30"/>
          <w:highlight w:val="none"/>
          <w:lang w:val="en-US" w:eastAsia="zh-CN"/>
        </w:rPr>
        <w:t>4,367户</w:t>
      </w:r>
      <w:r>
        <w:rPr>
          <w:rFonts w:hint="eastAsia" w:ascii="仿宋_GB2312" w:hAnsi="Times New Roman" w:eastAsia="仿宋_GB2312" w:cs="Times New Roman"/>
          <w:sz w:val="30"/>
          <w:szCs w:val="30"/>
          <w:highlight w:val="none"/>
          <w:lang w:val="en-US" w:eastAsia="zh-CN"/>
        </w:rPr>
        <w:t>。加强“二品一标”认证与监管工作，2025年新认证有机产品1家企业1个产品。</w:t>
      </w:r>
    </w:p>
    <w:p w14:paraId="03AA0345">
      <w:pPr>
        <w:spacing w:line="600" w:lineRule="exact"/>
        <w:ind w:firstLine="600" w:firstLineChars="200"/>
        <w:jc w:val="left"/>
        <w:rPr>
          <w:rFonts w:hint="eastAsia" w:ascii="仿宋_GB2312" w:hAnsi="宋体" w:eastAsia="仿宋_GB2312" w:cs="Arial"/>
          <w:kern w:val="0"/>
          <w:sz w:val="30"/>
          <w:szCs w:val="30"/>
          <w:highlight w:val="none"/>
        </w:rPr>
      </w:pPr>
    </w:p>
    <w:p w14:paraId="50E5E584">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第二部分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部门决算表</w:t>
      </w:r>
    </w:p>
    <w:p w14:paraId="1326C198">
      <w:pPr>
        <w:spacing w:line="600" w:lineRule="exact"/>
        <w:ind w:firstLine="600" w:firstLineChars="200"/>
        <w:jc w:val="center"/>
        <w:outlineLvl w:val="1"/>
        <w:rPr>
          <w:rFonts w:hint="eastAsia" w:ascii="仿宋_GB2312" w:eastAsia="仿宋_GB2312"/>
          <w:sz w:val="30"/>
          <w:szCs w:val="30"/>
          <w:highlight w:val="none"/>
        </w:rPr>
      </w:pPr>
      <w:r>
        <w:rPr>
          <w:rFonts w:hint="eastAsia" w:ascii="仿宋_GB2312" w:eastAsia="仿宋_GB2312"/>
          <w:sz w:val="30"/>
          <w:szCs w:val="30"/>
          <w:highlight w:val="none"/>
        </w:rPr>
        <w:t>（详见附件）</w:t>
      </w:r>
    </w:p>
    <w:p w14:paraId="4B578ECA">
      <w:pPr>
        <w:spacing w:line="600" w:lineRule="exact"/>
        <w:ind w:firstLine="600" w:firstLineChars="200"/>
        <w:rPr>
          <w:rFonts w:hint="eastAsia" w:ascii="仿宋_GB2312" w:eastAsia="仿宋_GB2312"/>
          <w:sz w:val="30"/>
          <w:szCs w:val="30"/>
          <w:highlight w:val="none"/>
          <w:lang w:val="zh-CN" w:eastAsia="zh-CN"/>
        </w:rPr>
      </w:pPr>
      <w:r>
        <w:rPr>
          <w:rFonts w:hint="eastAsia" w:ascii="仿宋_GB2312" w:eastAsia="仿宋_GB2312"/>
          <w:sz w:val="30"/>
          <w:szCs w:val="30"/>
          <w:highlight w:val="none"/>
          <w:lang w:val="zh-CN" w:eastAsia="zh-CN"/>
        </w:rPr>
        <w:t>华宁县农村社会事业发展中心</w:t>
      </w:r>
      <w:r>
        <w:rPr>
          <w:rFonts w:hint="eastAsia" w:ascii="仿宋_GB2312" w:eastAsia="仿宋_GB2312"/>
          <w:sz w:val="30"/>
          <w:szCs w:val="30"/>
          <w:highlight w:val="none"/>
          <w:lang w:val="en-US" w:eastAsia="zh-CN"/>
        </w:rPr>
        <w:t>2025年</w:t>
      </w:r>
      <w:r>
        <w:rPr>
          <w:rFonts w:hint="eastAsia" w:ascii="仿宋_GB2312" w:eastAsia="仿宋_GB2312"/>
          <w:sz w:val="30"/>
          <w:szCs w:val="30"/>
          <w:highlight w:val="none"/>
          <w:lang w:val="zh-CN" w:eastAsia="zh-CN"/>
        </w:rPr>
        <w:t>没有政府性基金收入，也没有使用政府性基金支出，故《政府性基金预算财政拨款收入支出决算表》无数据。</w:t>
      </w:r>
    </w:p>
    <w:p w14:paraId="0A85C712">
      <w:pPr>
        <w:spacing w:line="600" w:lineRule="exact"/>
        <w:ind w:firstLine="600" w:firstLineChars="200"/>
        <w:jc w:val="left"/>
        <w:rPr>
          <w:rFonts w:hint="eastAsia" w:ascii="仿宋_GB2312" w:eastAsia="仿宋_GB2312"/>
          <w:sz w:val="30"/>
          <w:szCs w:val="30"/>
          <w:highlight w:val="none"/>
          <w:lang w:eastAsia="zh-CN"/>
        </w:rPr>
      </w:pPr>
      <w:r>
        <w:rPr>
          <w:rFonts w:hint="eastAsia" w:ascii="仿宋_GB2312" w:eastAsia="仿宋_GB2312"/>
          <w:sz w:val="30"/>
          <w:szCs w:val="30"/>
          <w:highlight w:val="none"/>
          <w:lang w:val="zh-CN" w:eastAsia="zh-CN"/>
        </w:rPr>
        <w:t>华宁县农村社会事业发展中心</w:t>
      </w:r>
      <w:r>
        <w:rPr>
          <w:rFonts w:hint="eastAsia" w:ascii="仿宋_GB2312" w:eastAsia="仿宋_GB2312"/>
          <w:sz w:val="30"/>
          <w:szCs w:val="30"/>
          <w:highlight w:val="none"/>
          <w:lang w:val="en-US" w:eastAsia="zh-CN"/>
        </w:rPr>
        <w:t>2025年</w:t>
      </w:r>
      <w:r>
        <w:rPr>
          <w:rFonts w:hint="eastAsia" w:ascii="仿宋_GB2312" w:eastAsia="仿宋_GB2312"/>
          <w:sz w:val="30"/>
          <w:szCs w:val="30"/>
          <w:highlight w:val="none"/>
          <w:lang w:val="zh-CN" w:eastAsia="zh-CN"/>
        </w:rPr>
        <w:t>没有经营性国有资本，故《国有资本经营预算财政拨款收入支出决算表》无数据。</w:t>
      </w:r>
    </w:p>
    <w:p w14:paraId="267084E5">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第三部</w:t>
      </w:r>
      <w:r>
        <w:rPr>
          <w:rFonts w:hint="eastAsia" w:ascii="黑体" w:hAnsi="黑体" w:eastAsia="黑体"/>
          <w:sz w:val="32"/>
          <w:szCs w:val="32"/>
          <w:highlight w:val="none"/>
          <w:lang w:eastAsia="zh-CN"/>
        </w:rPr>
        <w:t>分</w:t>
      </w:r>
      <w:r>
        <w:rPr>
          <w:rFonts w:hint="eastAsia" w:ascii="黑体" w:hAnsi="黑体" w:eastAsia="黑体"/>
          <w:sz w:val="32"/>
          <w:szCs w:val="32"/>
          <w:highlight w:val="none"/>
        </w:rPr>
        <w:t xml:space="preserve">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部门决算情况说明</w:t>
      </w:r>
    </w:p>
    <w:p w14:paraId="1C460F98">
      <w:pPr>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一、收入决算情况说明</w:t>
      </w:r>
    </w:p>
    <w:p w14:paraId="13660D6A">
      <w:pPr>
        <w:widowControl/>
        <w:snapToGrid w:val="0"/>
        <w:spacing w:before="100" w:after="100" w:line="600" w:lineRule="exact"/>
        <w:ind w:firstLine="538"/>
        <w:jc w:val="left"/>
        <w:rPr>
          <w:rFonts w:hint="eastAsia" w:ascii="仿宋_GB2312" w:eastAsia="仿宋_GB2312"/>
          <w:sz w:val="30"/>
          <w:szCs w:val="30"/>
          <w:highlight w:val="none"/>
          <w:lang w:eastAsia="zh-CN"/>
        </w:rPr>
      </w:pPr>
      <w:r>
        <w:rPr>
          <w:rFonts w:hint="eastAsia" w:ascii="仿宋_GB2312" w:hAnsi="仿宋_GB2312" w:eastAsia="仿宋_GB2312" w:cs="仿宋_GB2312"/>
          <w:color w:val="auto"/>
          <w:sz w:val="30"/>
          <w:lang w:val="zh-CN"/>
        </w:rPr>
        <w:t>华宁县农村社会事业发展中心</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收入合计</w:t>
      </w:r>
      <w:r>
        <w:rPr>
          <w:rFonts w:hint="eastAsia" w:ascii="仿宋_GB2312" w:hAnsi="仿宋_GB2312" w:eastAsia="仿宋_GB2312" w:cs="仿宋_GB2312"/>
          <w:color w:val="auto"/>
          <w:sz w:val="30"/>
          <w:lang w:val="zh-CN"/>
        </w:rPr>
        <w:t>8,628,203.07</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。其中：财政拨款收入</w:t>
      </w:r>
      <w:r>
        <w:rPr>
          <w:rFonts w:hint="eastAsia" w:ascii="仿宋_GB2312" w:hAnsi="仿宋_GB2312" w:eastAsia="仿宋_GB2312" w:cs="仿宋_GB2312"/>
          <w:color w:val="auto"/>
          <w:sz w:val="30"/>
          <w:lang w:val="zh-CN"/>
        </w:rPr>
        <w:t>8,628,203.07</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100.00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无</w:t>
      </w:r>
      <w:r>
        <w:rPr>
          <w:rFonts w:hint="eastAsia" w:ascii="仿宋_GB2312" w:eastAsia="仿宋_GB2312"/>
          <w:sz w:val="30"/>
          <w:szCs w:val="30"/>
          <w:highlight w:val="none"/>
        </w:rPr>
        <w:t>上级补助收入</w:t>
      </w:r>
      <w:r>
        <w:rPr>
          <w:rFonts w:hint="eastAsia" w:ascii="仿宋_GB2312" w:eastAsia="仿宋_GB2312"/>
          <w:sz w:val="30"/>
          <w:szCs w:val="30"/>
          <w:highlight w:val="none"/>
          <w:lang w:eastAsia="zh-CN"/>
        </w:rPr>
        <w:t>、</w:t>
      </w:r>
      <w:r>
        <w:rPr>
          <w:rFonts w:hint="eastAsia" w:ascii="仿宋_GB2312" w:eastAsia="仿宋_GB2312"/>
          <w:sz w:val="30"/>
          <w:szCs w:val="30"/>
          <w:highlight w:val="none"/>
        </w:rPr>
        <w:t>事业收入</w:t>
      </w:r>
      <w:r>
        <w:rPr>
          <w:rFonts w:hint="eastAsia" w:ascii="仿宋_GB2312" w:eastAsia="仿宋_GB2312"/>
          <w:sz w:val="30"/>
          <w:szCs w:val="30"/>
          <w:highlight w:val="none"/>
          <w:lang w:eastAsia="zh-CN"/>
        </w:rPr>
        <w:t>、</w:t>
      </w:r>
      <w:r>
        <w:rPr>
          <w:rFonts w:hint="eastAsia" w:ascii="仿宋_GB2312" w:eastAsia="仿宋_GB2312"/>
          <w:sz w:val="30"/>
          <w:szCs w:val="30"/>
          <w:highlight w:val="none"/>
        </w:rPr>
        <w:t>经营收入</w:t>
      </w:r>
      <w:r>
        <w:rPr>
          <w:rFonts w:hint="eastAsia" w:ascii="仿宋_GB2312" w:eastAsia="仿宋_GB2312"/>
          <w:sz w:val="30"/>
          <w:szCs w:val="30"/>
          <w:highlight w:val="none"/>
          <w:lang w:eastAsia="zh-CN"/>
        </w:rPr>
        <w:t>、</w:t>
      </w:r>
      <w:r>
        <w:rPr>
          <w:rFonts w:hint="eastAsia" w:ascii="仿宋_GB2312" w:eastAsia="仿宋_GB2312"/>
          <w:sz w:val="30"/>
          <w:szCs w:val="30"/>
          <w:highlight w:val="none"/>
        </w:rPr>
        <w:t>附属单位</w:t>
      </w:r>
      <w:r>
        <w:rPr>
          <w:rFonts w:hint="eastAsia" w:ascii="仿宋_GB2312" w:eastAsia="仿宋_GB2312"/>
          <w:sz w:val="30"/>
          <w:szCs w:val="30"/>
          <w:highlight w:val="none"/>
          <w:lang w:eastAsia="zh-CN"/>
        </w:rPr>
        <w:t>上缴</w:t>
      </w:r>
      <w:r>
        <w:rPr>
          <w:rFonts w:hint="eastAsia" w:ascii="仿宋_GB2312" w:eastAsia="仿宋_GB2312"/>
          <w:sz w:val="30"/>
          <w:szCs w:val="30"/>
          <w:highlight w:val="none"/>
        </w:rPr>
        <w:t>收入</w:t>
      </w:r>
      <w:r>
        <w:rPr>
          <w:rFonts w:hint="eastAsia" w:ascii="仿宋_GB2312" w:eastAsia="仿宋_GB2312"/>
          <w:sz w:val="30"/>
          <w:szCs w:val="30"/>
          <w:highlight w:val="none"/>
          <w:lang w:eastAsia="zh-CN"/>
        </w:rPr>
        <w:t>、</w:t>
      </w:r>
      <w:r>
        <w:rPr>
          <w:rFonts w:hint="eastAsia" w:ascii="仿宋_GB2312" w:eastAsia="仿宋_GB2312"/>
          <w:sz w:val="30"/>
          <w:szCs w:val="30"/>
          <w:highlight w:val="none"/>
        </w:rPr>
        <w:t>其他收入。</w:t>
      </w:r>
    </w:p>
    <w:p w14:paraId="727F207D">
      <w:pPr>
        <w:widowControl/>
        <w:snapToGrid w:val="0"/>
        <w:spacing w:before="100" w:after="100" w:line="600" w:lineRule="exact"/>
        <w:ind w:firstLine="538"/>
        <w:jc w:val="both"/>
        <w:rPr>
          <w:rFonts w:hint="eastAsia" w:ascii="仿宋_GB2312" w:hAnsi="宋体" w:eastAsia="仿宋_GB2312" w:cs="Arial"/>
          <w:color w:val="FF0000"/>
          <w:kern w:val="0"/>
          <w:sz w:val="30"/>
          <w:szCs w:val="30"/>
          <w:highlight w:val="none"/>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w:t>
      </w:r>
      <w:r>
        <w:rPr>
          <w:rFonts w:hint="eastAsia" w:ascii="仿宋_GB2312" w:eastAsia="仿宋_GB2312"/>
          <w:sz w:val="30"/>
          <w:szCs w:val="30"/>
          <w:highlight w:val="none"/>
        </w:rPr>
        <w:t>收入合计</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6,335,497.50</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276.33</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eastAsia="仿宋_GB2312"/>
          <w:sz w:val="30"/>
          <w:szCs w:val="30"/>
          <w:highlight w:val="none"/>
        </w:rPr>
        <w:t>财政拨款收入</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6,340,063.50</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277.08</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hAnsi="Times New Roman" w:eastAsia="仿宋_GB2312" w:cs="Times New Roman"/>
          <w:sz w:val="30"/>
          <w:szCs w:val="30"/>
          <w:highlight w:val="none"/>
          <w:lang w:val="en-US" w:eastAsia="zh-CN"/>
        </w:rPr>
        <w:t>主要是在今年支付以前年度厕所革命资金</w:t>
      </w:r>
      <w:r>
        <w:rPr>
          <w:rFonts w:hint="eastAsia" w:ascii="仿宋_GB2312" w:eastAsia="仿宋_GB2312" w:cs="Times New Roman"/>
          <w:sz w:val="30"/>
          <w:szCs w:val="30"/>
          <w:highlight w:val="none"/>
          <w:lang w:val="en-US" w:eastAsia="zh-CN"/>
        </w:rPr>
        <w:t>4,780,000.</w:t>
      </w:r>
      <w:r>
        <w:rPr>
          <w:rFonts w:hint="eastAsia" w:ascii="仿宋_GB2312" w:hAnsi="Times New Roman" w:eastAsia="仿宋_GB2312" w:cs="Times New Roman"/>
          <w:sz w:val="30"/>
          <w:szCs w:val="30"/>
          <w:highlight w:val="none"/>
          <w:lang w:val="en-US" w:eastAsia="zh-CN"/>
        </w:rPr>
        <w:t>00元，人居环境整治费21</w:t>
      </w:r>
      <w:r>
        <w:rPr>
          <w:rFonts w:hint="eastAsia" w:ascii="仿宋_GB2312" w:eastAsia="仿宋_GB2312" w:cs="Times New Roman"/>
          <w:sz w:val="30"/>
          <w:szCs w:val="30"/>
          <w:highlight w:val="none"/>
          <w:lang w:val="en-US" w:eastAsia="zh-CN"/>
        </w:rPr>
        <w:t>7,500.</w:t>
      </w:r>
      <w:r>
        <w:rPr>
          <w:rFonts w:hint="eastAsia" w:ascii="仿宋_GB2312" w:hAnsi="Times New Roman" w:eastAsia="仿宋_GB2312" w:cs="Times New Roman"/>
          <w:sz w:val="30"/>
          <w:szCs w:val="30"/>
          <w:highlight w:val="none"/>
          <w:lang w:val="en-US" w:eastAsia="zh-CN"/>
        </w:rPr>
        <w:t>00元所致；</w:t>
      </w:r>
      <w:r>
        <w:rPr>
          <w:rFonts w:hint="eastAsia" w:ascii="仿宋_GB2312" w:eastAsia="仿宋_GB2312"/>
          <w:sz w:val="30"/>
          <w:szCs w:val="30"/>
          <w:highlight w:val="none"/>
          <w:lang w:eastAsia="zh-CN"/>
        </w:rPr>
        <w:t>其他收入</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4,566.00</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100.00</w:t>
      </w:r>
      <w:r>
        <w:rPr>
          <w:rFonts w:hint="eastAsia" w:ascii="仿宋_GB2312" w:eastAsia="仿宋_GB2312"/>
          <w:sz w:val="30"/>
          <w:szCs w:val="30"/>
          <w:highlight w:val="none"/>
        </w:rPr>
        <w:t>%，原因</w:t>
      </w:r>
      <w:r>
        <w:rPr>
          <w:rFonts w:hint="eastAsia" w:ascii="仿宋_GB2312" w:eastAsia="仿宋_GB2312"/>
          <w:sz w:val="30"/>
          <w:szCs w:val="30"/>
          <w:highlight w:val="none"/>
          <w:lang w:eastAsia="zh-CN"/>
        </w:rPr>
        <w:t>是</w:t>
      </w:r>
      <w:r>
        <w:rPr>
          <w:rFonts w:hint="eastAsia" w:ascii="仿宋_GB2312" w:hAnsi="Times New Roman" w:eastAsia="仿宋_GB2312" w:cs="Times New Roman"/>
          <w:sz w:val="30"/>
          <w:szCs w:val="30"/>
          <w:highlight w:val="none"/>
          <w:lang w:val="en-US" w:eastAsia="zh-CN"/>
        </w:rPr>
        <w:t>去年华宁县热带作物示范园拨入“千万工程”督查检查工作经费</w:t>
      </w:r>
      <w:r>
        <w:rPr>
          <w:rFonts w:hint="eastAsia" w:ascii="仿宋_GB2312" w:eastAsia="仿宋_GB2312" w:cs="Times New Roman"/>
          <w:sz w:val="30"/>
          <w:szCs w:val="30"/>
          <w:highlight w:val="none"/>
          <w:lang w:val="en-US" w:eastAsia="zh-CN"/>
        </w:rPr>
        <w:t>4,566.</w:t>
      </w:r>
      <w:r>
        <w:rPr>
          <w:rFonts w:hint="eastAsia" w:ascii="仿宋_GB2312" w:hAnsi="Times New Roman" w:eastAsia="仿宋_GB2312" w:cs="Times New Roman"/>
          <w:sz w:val="30"/>
          <w:szCs w:val="30"/>
          <w:highlight w:val="none"/>
          <w:lang w:val="en-US" w:eastAsia="zh-CN"/>
        </w:rPr>
        <w:t>00元，今年无此项收入。</w:t>
      </w:r>
    </w:p>
    <w:p w14:paraId="031ED2E5">
      <w:pPr>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二、支出决算情况说明</w:t>
      </w:r>
    </w:p>
    <w:p w14:paraId="0BFDC220">
      <w:pPr>
        <w:spacing w:line="600" w:lineRule="exact"/>
        <w:ind w:firstLine="600" w:firstLineChars="200"/>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sz w:val="30"/>
          <w:lang w:val="zh-CN"/>
        </w:rPr>
        <w:t>华宁县农村社会事业发展中心</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支出合计</w:t>
      </w:r>
      <w:r>
        <w:rPr>
          <w:rFonts w:hint="eastAsia" w:ascii="仿宋_GB2312" w:hAnsi="仿宋_GB2312" w:eastAsia="仿宋_GB2312" w:cs="仿宋_GB2312"/>
          <w:color w:val="auto"/>
          <w:sz w:val="30"/>
          <w:lang w:val="zh-CN"/>
        </w:rPr>
        <w:t>8,628,203.07</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w:t>
      </w:r>
      <w:r>
        <w:rPr>
          <w:rFonts w:hint="eastAsia" w:ascii="仿宋_GB2312" w:hAnsi="宋体" w:eastAsia="仿宋_GB2312" w:cs="Arial"/>
          <w:kern w:val="0"/>
          <w:sz w:val="30"/>
          <w:szCs w:val="30"/>
          <w:highlight w:val="none"/>
        </w:rPr>
        <w:t>基本支出</w:t>
      </w:r>
      <w:r>
        <w:rPr>
          <w:rFonts w:hint="eastAsia" w:ascii="仿宋_GB2312" w:hAnsi="仿宋_GB2312" w:eastAsia="仿宋_GB2312" w:cs="仿宋_GB2312"/>
          <w:color w:val="auto"/>
          <w:sz w:val="30"/>
          <w:lang w:val="zh-CN"/>
        </w:rPr>
        <w:t>2,599,198.07</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30.12</w:t>
      </w:r>
      <w:r>
        <w:rPr>
          <w:rFonts w:hint="eastAsia" w:ascii="仿宋_GB2312" w:hAnsi="宋体" w:eastAsia="仿宋_GB2312" w:cs="Arial"/>
          <w:kern w:val="0"/>
          <w:sz w:val="30"/>
          <w:szCs w:val="30"/>
          <w:highlight w:val="none"/>
        </w:rPr>
        <w:t>％；项目支出</w:t>
      </w:r>
      <w:r>
        <w:rPr>
          <w:rFonts w:hint="eastAsia" w:ascii="仿宋_GB2312" w:hAnsi="仿宋_GB2312" w:eastAsia="仿宋_GB2312" w:cs="仿宋_GB2312"/>
          <w:color w:val="auto"/>
          <w:sz w:val="30"/>
          <w:lang w:val="zh-CN"/>
        </w:rPr>
        <w:t>6,029,005.00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69.88</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无</w:t>
      </w:r>
      <w:r>
        <w:rPr>
          <w:rFonts w:hint="eastAsia" w:ascii="仿宋_GB2312" w:hAnsi="宋体" w:eastAsia="仿宋_GB2312" w:cs="Arial"/>
          <w:kern w:val="0"/>
          <w:sz w:val="30"/>
          <w:szCs w:val="30"/>
          <w:highlight w:val="none"/>
        </w:rPr>
        <w:t>上缴上级支出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经营支出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对附属单位补助支出。</w:t>
      </w:r>
    </w:p>
    <w:p w14:paraId="1C91E72B">
      <w:pPr>
        <w:spacing w:line="600" w:lineRule="exact"/>
        <w:ind w:firstLine="600" w:firstLineChars="200"/>
        <w:jc w:val="both"/>
        <w:rPr>
          <w:rFonts w:hint="eastAsia" w:ascii="仿宋_GB2312" w:eastAsia="仿宋_GB2312"/>
          <w:color w:val="FF0000"/>
          <w:sz w:val="30"/>
          <w:szCs w:val="30"/>
          <w:highlight w:val="none"/>
          <w:lang w:eastAsia="zh-CN"/>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相比，支出</w:t>
      </w:r>
      <w:r>
        <w:rPr>
          <w:rFonts w:hint="eastAsia" w:ascii="仿宋_GB2312" w:eastAsia="仿宋_GB2312"/>
          <w:sz w:val="30"/>
          <w:szCs w:val="30"/>
          <w:highlight w:val="none"/>
        </w:rPr>
        <w:t>合计</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6,335,497.50</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276.33</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hAnsi="宋体" w:eastAsia="仿宋_GB2312" w:cs="Arial"/>
          <w:kern w:val="0"/>
          <w:sz w:val="30"/>
          <w:szCs w:val="30"/>
          <w:highlight w:val="none"/>
        </w:rPr>
        <w:t>基本支出</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468,020.50</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21.96</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hAnsi="Times New Roman" w:eastAsia="仿宋_GB2312" w:cs="Times New Roman"/>
          <w:sz w:val="30"/>
          <w:szCs w:val="30"/>
          <w:highlight w:val="none"/>
          <w:lang w:val="en-US" w:eastAsia="zh-CN"/>
        </w:rPr>
        <w:t>主要是在今年拨付往年社会保险3</w:t>
      </w:r>
      <w:r>
        <w:rPr>
          <w:rFonts w:hint="eastAsia" w:ascii="仿宋_GB2312" w:eastAsia="仿宋_GB2312" w:cs="Times New Roman"/>
          <w:sz w:val="30"/>
          <w:szCs w:val="30"/>
          <w:highlight w:val="none"/>
          <w:lang w:val="en-US" w:eastAsia="zh-CN"/>
        </w:rPr>
        <w:t>9,212.</w:t>
      </w:r>
      <w:r>
        <w:rPr>
          <w:rFonts w:hint="eastAsia" w:ascii="仿宋_GB2312" w:hAnsi="Times New Roman" w:eastAsia="仿宋_GB2312" w:cs="Times New Roman"/>
          <w:sz w:val="30"/>
          <w:szCs w:val="30"/>
          <w:highlight w:val="none"/>
          <w:lang w:val="en-US" w:eastAsia="zh-CN"/>
        </w:rPr>
        <w:t>90元、公积金1</w:t>
      </w:r>
      <w:r>
        <w:rPr>
          <w:rFonts w:hint="eastAsia" w:ascii="仿宋_GB2312" w:eastAsia="仿宋_GB2312" w:cs="Times New Roman"/>
          <w:sz w:val="30"/>
          <w:szCs w:val="30"/>
          <w:highlight w:val="none"/>
          <w:lang w:val="en-US" w:eastAsia="zh-CN"/>
        </w:rPr>
        <w:t>5,860.</w:t>
      </w:r>
      <w:r>
        <w:rPr>
          <w:rFonts w:hint="eastAsia" w:ascii="仿宋_GB2312" w:hAnsi="Times New Roman" w:eastAsia="仿宋_GB2312" w:cs="Times New Roman"/>
          <w:sz w:val="30"/>
          <w:szCs w:val="30"/>
          <w:highlight w:val="none"/>
          <w:lang w:val="en-US" w:eastAsia="zh-CN"/>
        </w:rPr>
        <w:t>00元、遗补</w:t>
      </w:r>
      <w:r>
        <w:rPr>
          <w:rFonts w:hint="eastAsia" w:ascii="仿宋_GB2312" w:eastAsia="仿宋_GB2312" w:cs="Times New Roman"/>
          <w:sz w:val="30"/>
          <w:szCs w:val="30"/>
          <w:highlight w:val="none"/>
          <w:lang w:val="en-US" w:eastAsia="zh-CN"/>
        </w:rPr>
        <w:t>2,868.</w:t>
      </w:r>
      <w:r>
        <w:rPr>
          <w:rFonts w:hint="eastAsia" w:ascii="仿宋_GB2312" w:hAnsi="Times New Roman" w:eastAsia="仿宋_GB2312" w:cs="Times New Roman"/>
          <w:sz w:val="30"/>
          <w:szCs w:val="30"/>
          <w:highlight w:val="none"/>
          <w:lang w:val="en-US" w:eastAsia="zh-CN"/>
        </w:rPr>
        <w:t>00元、职业年金15</w:t>
      </w:r>
      <w:r>
        <w:rPr>
          <w:rFonts w:hint="eastAsia" w:ascii="仿宋_GB2312" w:eastAsia="仿宋_GB2312" w:cs="Times New Roman"/>
          <w:sz w:val="30"/>
          <w:szCs w:val="30"/>
          <w:highlight w:val="none"/>
          <w:lang w:val="en-US" w:eastAsia="zh-CN"/>
        </w:rPr>
        <w:t>4,421.</w:t>
      </w:r>
      <w:r>
        <w:rPr>
          <w:rFonts w:hint="eastAsia" w:ascii="仿宋_GB2312" w:hAnsi="Times New Roman" w:eastAsia="仿宋_GB2312" w:cs="Times New Roman"/>
          <w:sz w:val="30"/>
          <w:szCs w:val="30"/>
          <w:highlight w:val="none"/>
          <w:lang w:val="en-US" w:eastAsia="zh-CN"/>
        </w:rPr>
        <w:t>01元所致；</w:t>
      </w:r>
      <w:r>
        <w:rPr>
          <w:rFonts w:hint="eastAsia" w:ascii="仿宋_GB2312" w:eastAsia="仿宋_GB2312"/>
          <w:sz w:val="30"/>
          <w:szCs w:val="30"/>
          <w:highlight w:val="none"/>
          <w:lang w:eastAsia="zh-CN"/>
        </w:rPr>
        <w:t>项目支出增加</w:t>
      </w:r>
      <w:r>
        <w:rPr>
          <w:rFonts w:hint="eastAsia" w:ascii="仿宋_GB2312" w:hAnsi="仿宋_GB2312" w:eastAsia="仿宋_GB2312" w:cs="仿宋_GB2312"/>
          <w:color w:val="auto"/>
          <w:sz w:val="30"/>
          <w:lang w:val="zh-CN"/>
        </w:rPr>
        <w:t>5,867,477.00</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3,632.48</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hAnsi="Times New Roman" w:eastAsia="仿宋_GB2312" w:cs="Times New Roman"/>
          <w:sz w:val="30"/>
          <w:szCs w:val="30"/>
          <w:highlight w:val="none"/>
          <w:lang w:val="en-US" w:eastAsia="zh-CN"/>
        </w:rPr>
        <w:t>主要是在今年支付以前年度厕所革命资金</w:t>
      </w:r>
      <w:r>
        <w:rPr>
          <w:rFonts w:hint="eastAsia" w:ascii="仿宋_GB2312" w:eastAsia="仿宋_GB2312" w:cs="Times New Roman"/>
          <w:sz w:val="30"/>
          <w:szCs w:val="30"/>
          <w:highlight w:val="none"/>
          <w:lang w:val="en-US" w:eastAsia="zh-CN"/>
        </w:rPr>
        <w:t>4,780,000.</w:t>
      </w:r>
      <w:r>
        <w:rPr>
          <w:rFonts w:hint="eastAsia" w:ascii="仿宋_GB2312" w:hAnsi="Times New Roman" w:eastAsia="仿宋_GB2312" w:cs="Times New Roman"/>
          <w:sz w:val="30"/>
          <w:szCs w:val="30"/>
          <w:highlight w:val="none"/>
          <w:lang w:val="en-US" w:eastAsia="zh-CN"/>
        </w:rPr>
        <w:t>00元，人居环境整治费21</w:t>
      </w:r>
      <w:r>
        <w:rPr>
          <w:rFonts w:hint="eastAsia" w:ascii="仿宋_GB2312" w:eastAsia="仿宋_GB2312" w:cs="Times New Roman"/>
          <w:sz w:val="30"/>
          <w:szCs w:val="30"/>
          <w:highlight w:val="none"/>
          <w:lang w:val="en-US" w:eastAsia="zh-CN"/>
        </w:rPr>
        <w:t>7,500.</w:t>
      </w:r>
      <w:r>
        <w:rPr>
          <w:rFonts w:hint="eastAsia" w:ascii="仿宋_GB2312" w:hAnsi="Times New Roman" w:eastAsia="仿宋_GB2312" w:cs="Times New Roman"/>
          <w:sz w:val="30"/>
          <w:szCs w:val="30"/>
          <w:highlight w:val="none"/>
          <w:lang w:val="en-US" w:eastAsia="zh-CN"/>
        </w:rPr>
        <w:t>00元所致。</w:t>
      </w:r>
    </w:p>
    <w:p w14:paraId="51926543">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（一）基本支出情况</w:t>
      </w:r>
    </w:p>
    <w:p w14:paraId="05D259C5">
      <w:pPr>
        <w:widowControl/>
        <w:snapToGrid w:val="0"/>
        <w:spacing w:before="100" w:after="100" w:line="600" w:lineRule="exact"/>
        <w:ind w:firstLine="600" w:firstLineChars="200"/>
        <w:jc w:val="both"/>
        <w:rPr>
          <w:rFonts w:hint="eastAsia" w:ascii="仿宋_GB2312" w:eastAsia="仿宋_GB2312"/>
          <w:color w:val="FF0000"/>
          <w:sz w:val="30"/>
          <w:szCs w:val="30"/>
          <w:highlight w:val="none"/>
        </w:rPr>
      </w:pPr>
      <w:r>
        <w:rPr>
          <w:rFonts w:hint="eastAsia" w:ascii="仿宋_GB2312" w:hAnsi="仿宋_GB2312" w:eastAsia="仿宋_GB2312" w:cs="仿宋_GB2312"/>
          <w:sz w:val="30"/>
          <w:szCs w:val="30"/>
          <w:highlight w:val="none"/>
          <w:lang w:val="en-US" w:eastAsia="zh-CN"/>
        </w:rPr>
        <w:t>2025年度</w:t>
      </w:r>
      <w:r>
        <w:rPr>
          <w:rFonts w:hint="eastAsia" w:ascii="仿宋_GB2312" w:hAnsi="仿宋_GB2312" w:eastAsia="仿宋_GB2312" w:cs="仿宋_GB2312"/>
          <w:sz w:val="30"/>
          <w:szCs w:val="30"/>
          <w:highlight w:val="none"/>
        </w:rPr>
        <w:t>用于保障</w:t>
      </w:r>
      <w:r>
        <w:rPr>
          <w:rFonts w:hint="eastAsia" w:ascii="仿宋_GB2312" w:hAnsi="仿宋_GB2312" w:eastAsia="仿宋_GB2312" w:cs="仿宋_GB2312"/>
          <w:color w:val="auto"/>
          <w:sz w:val="30"/>
          <w:lang w:val="zh-CN"/>
        </w:rPr>
        <w:t>华宁县农村社会事业发展中心</w:t>
      </w:r>
      <w:r>
        <w:rPr>
          <w:rFonts w:hint="eastAsia" w:ascii="仿宋_GB2312" w:hAnsi="仿宋_GB2312" w:eastAsia="仿宋_GB2312" w:cs="仿宋_GB2312"/>
          <w:sz w:val="30"/>
          <w:szCs w:val="30"/>
          <w:highlight w:val="none"/>
        </w:rPr>
        <w:t>机构正常运转的日常支出</w:t>
      </w:r>
      <w:r>
        <w:rPr>
          <w:rFonts w:hint="eastAsia" w:ascii="仿宋_GB2312" w:hAnsi="仿宋_GB2312" w:eastAsia="仿宋_GB2312" w:cs="仿宋_GB2312"/>
          <w:color w:val="auto"/>
          <w:sz w:val="30"/>
          <w:lang w:val="zh-CN"/>
        </w:rPr>
        <w:t>2,599,198.07</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eastAsia="zh-CN"/>
        </w:rPr>
        <w:t>其中：</w:t>
      </w:r>
      <w:r>
        <w:rPr>
          <w:rFonts w:hint="eastAsia" w:ascii="仿宋_GB2312" w:hAnsi="仿宋_GB2312" w:eastAsia="仿宋_GB2312" w:cs="仿宋_GB2312"/>
          <w:sz w:val="30"/>
          <w:szCs w:val="30"/>
          <w:highlight w:val="none"/>
        </w:rPr>
        <w:t>基本工资、津贴补贴等人员经费支出</w:t>
      </w:r>
      <w:r>
        <w:rPr>
          <w:rFonts w:hint="eastAsia" w:ascii="仿宋_GB2312" w:hAnsi="仿宋_GB2312" w:eastAsia="仿宋_GB2312" w:cs="仿宋_GB2312"/>
          <w:color w:val="auto"/>
          <w:sz w:val="30"/>
          <w:lang w:val="zh-CN"/>
        </w:rPr>
        <w:t>2,568,031.61</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占基本支出的</w:t>
      </w:r>
      <w:r>
        <w:rPr>
          <w:rFonts w:hint="eastAsia" w:ascii="仿宋_GB2312" w:hAnsi="仿宋_GB2312" w:eastAsia="仿宋_GB2312" w:cs="仿宋_GB2312"/>
          <w:color w:val="auto"/>
          <w:sz w:val="30"/>
          <w:lang w:val="zh-CN"/>
        </w:rPr>
        <w:t>98.80</w:t>
      </w:r>
      <w:r>
        <w:rPr>
          <w:rFonts w:hint="eastAsia" w:ascii="仿宋_GB2312" w:hAnsi="仿宋_GB2312" w:eastAsia="仿宋_GB2312" w:cs="仿宋_GB2312"/>
          <w:sz w:val="30"/>
          <w:szCs w:val="30"/>
          <w:highlight w:val="none"/>
        </w:rPr>
        <w:t>％；办公费、印刷费、水电费、办公设备购置等公用经费</w:t>
      </w:r>
      <w:r>
        <w:rPr>
          <w:rFonts w:hint="eastAsia" w:ascii="仿宋_GB2312" w:hAnsi="仿宋_GB2312" w:eastAsia="仿宋_GB2312" w:cs="仿宋_GB2312"/>
          <w:color w:val="auto"/>
          <w:sz w:val="30"/>
          <w:lang w:val="zh-CN"/>
        </w:rPr>
        <w:t>31,166.46</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占基本支出的</w:t>
      </w:r>
      <w:r>
        <w:rPr>
          <w:rFonts w:hint="eastAsia" w:ascii="仿宋_GB2312" w:hAnsi="仿宋_GB2312" w:eastAsia="仿宋_GB2312" w:cs="仿宋_GB2312"/>
          <w:color w:val="auto"/>
          <w:sz w:val="30"/>
          <w:lang w:val="zh-CN"/>
        </w:rPr>
        <w:t>1.20</w:t>
      </w:r>
      <w:r>
        <w:rPr>
          <w:rFonts w:hint="eastAsia" w:ascii="仿宋_GB2312" w:hAnsi="仿宋_GB2312" w:eastAsia="仿宋_GB2312" w:cs="仿宋_GB2312"/>
          <w:sz w:val="30"/>
          <w:szCs w:val="30"/>
          <w:highlight w:val="none"/>
        </w:rPr>
        <w:t>％。</w:t>
      </w:r>
    </w:p>
    <w:p w14:paraId="3FF2F96E">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（二）项目支出情况</w:t>
      </w:r>
    </w:p>
    <w:p w14:paraId="4B33D2D4">
      <w:pPr>
        <w:keepNext w:val="0"/>
        <w:keepLines w:val="0"/>
        <w:pageBreakBefore w:val="0"/>
        <w:widowControl/>
        <w:kinsoku/>
        <w:wordWrap/>
        <w:overflowPunct/>
        <w:topLinePunct w:val="0"/>
        <w:autoSpaceDE/>
        <w:autoSpaceDN/>
        <w:bidi w:val="0"/>
        <w:adjustRightInd/>
        <w:snapToGrid w:val="0"/>
        <w:spacing w:before="100" w:after="100" w:line="600" w:lineRule="exact"/>
        <w:ind w:firstLine="600" w:firstLineChars="200"/>
        <w:jc w:val="both"/>
        <w:textAlignment w:val="auto"/>
        <w:rPr>
          <w:rFonts w:hint="eastAsia" w:ascii="仿宋_GB2312" w:eastAsia="仿宋_GB2312"/>
          <w:sz w:val="30"/>
          <w:szCs w:val="30"/>
          <w:highlight w:val="none"/>
        </w:rPr>
      </w:pP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用于保障</w:t>
      </w:r>
      <w:r>
        <w:rPr>
          <w:rFonts w:hint="eastAsia" w:ascii="仿宋_GB2312" w:hAnsi="仿宋_GB2312" w:eastAsia="仿宋_GB2312" w:cs="仿宋_GB2312"/>
          <w:color w:val="auto"/>
          <w:sz w:val="30"/>
          <w:lang w:val="zh-CN"/>
        </w:rPr>
        <w:t>华宁县农村社会事业发展中心</w:t>
      </w:r>
      <w:r>
        <w:rPr>
          <w:rFonts w:hint="eastAsia" w:ascii="仿宋_GB2312" w:eastAsia="仿宋_GB2312"/>
          <w:sz w:val="30"/>
          <w:szCs w:val="30"/>
          <w:highlight w:val="none"/>
        </w:rPr>
        <w:t>为完成特定的行政工作任务或事业发展目标，用于专项业务工作的经费支出</w:t>
      </w:r>
      <w:r>
        <w:rPr>
          <w:rFonts w:hint="eastAsia" w:ascii="仿宋_GB2312" w:hAnsi="仿宋_GB2312" w:eastAsia="仿宋_GB2312" w:cs="仿宋_GB2312"/>
          <w:color w:val="auto"/>
          <w:sz w:val="30"/>
          <w:lang w:val="zh-CN"/>
        </w:rPr>
        <w:t>6,029,005.00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其中：基本建设类项目支出</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p>
    <w:p w14:paraId="6DC28651">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both"/>
        <w:textAlignment w:val="auto"/>
        <w:rPr>
          <w:rFonts w:hint="default" w:ascii="仿宋_GB2312" w:eastAsia="仿宋_GB2312"/>
          <w:sz w:val="30"/>
          <w:szCs w:val="30"/>
          <w:highlight w:val="none"/>
          <w:lang w:val="en-US" w:eastAsia="zh-CN"/>
        </w:rPr>
      </w:pPr>
      <w:r>
        <w:rPr>
          <w:rFonts w:hint="eastAsia" w:ascii="仿宋_GB2312" w:eastAsia="仿宋_GB2312"/>
          <w:sz w:val="30"/>
          <w:szCs w:val="30"/>
          <w:highlight w:val="none"/>
          <w:lang w:eastAsia="zh-CN"/>
        </w:rPr>
        <w:t>遗属补助</w:t>
      </w:r>
      <w:r>
        <w:rPr>
          <w:rFonts w:hint="eastAsia" w:ascii="仿宋_GB2312" w:eastAsia="仿宋_GB2312"/>
          <w:sz w:val="30"/>
          <w:szCs w:val="30"/>
          <w:highlight w:val="none"/>
        </w:rPr>
        <w:t>项目经费</w:t>
      </w:r>
      <w:r>
        <w:rPr>
          <w:rFonts w:hint="eastAsia" w:ascii="仿宋_GB2312" w:eastAsia="仿宋_GB2312"/>
          <w:sz w:val="30"/>
          <w:szCs w:val="30"/>
          <w:highlight w:val="none"/>
          <w:lang w:val="en-US" w:eastAsia="zh-CN"/>
        </w:rPr>
        <w:t>11,505.00</w:t>
      </w:r>
      <w:r>
        <w:rPr>
          <w:rFonts w:hint="eastAsia" w:ascii="仿宋_GB2312" w:eastAsia="仿宋_GB2312"/>
          <w:sz w:val="30"/>
          <w:szCs w:val="30"/>
          <w:highlight w:val="none"/>
        </w:rPr>
        <w:t>元，用于</w:t>
      </w:r>
      <w:r>
        <w:rPr>
          <w:rFonts w:hint="eastAsia" w:ascii="仿宋_GB2312" w:eastAsia="仿宋_GB2312"/>
          <w:sz w:val="30"/>
          <w:szCs w:val="30"/>
          <w:highlight w:val="none"/>
          <w:lang w:eastAsia="zh-CN"/>
        </w:rPr>
        <w:t>符合条件的亡故职工家属生活补助。</w:t>
      </w:r>
    </w:p>
    <w:p w14:paraId="6C6DBC86">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default"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5个行政村污水收集治理工程</w:t>
      </w:r>
      <w:r>
        <w:rPr>
          <w:rFonts w:hint="eastAsia" w:ascii="仿宋_GB2312" w:eastAsia="仿宋_GB2312"/>
          <w:sz w:val="30"/>
          <w:szCs w:val="30"/>
          <w:highlight w:val="none"/>
        </w:rPr>
        <w:t>项目经费</w:t>
      </w:r>
      <w:r>
        <w:rPr>
          <w:rFonts w:hint="eastAsia" w:ascii="仿宋_GB2312" w:eastAsia="仿宋_GB2312"/>
          <w:sz w:val="30"/>
          <w:szCs w:val="30"/>
          <w:highlight w:val="none"/>
          <w:lang w:val="en-US" w:eastAsia="zh-CN"/>
        </w:rPr>
        <w:t>300,000.00</w:t>
      </w:r>
      <w:r>
        <w:rPr>
          <w:rFonts w:hint="eastAsia" w:ascii="仿宋_GB2312" w:eastAsia="仿宋_GB2312"/>
          <w:sz w:val="30"/>
          <w:szCs w:val="30"/>
          <w:highlight w:val="none"/>
        </w:rPr>
        <w:t>元，用于</w:t>
      </w:r>
      <w:r>
        <w:rPr>
          <w:rFonts w:hint="eastAsia" w:ascii="仿宋_GB2312" w:eastAsia="仿宋_GB2312"/>
          <w:sz w:val="30"/>
          <w:szCs w:val="30"/>
          <w:highlight w:val="none"/>
          <w:lang w:eastAsia="zh-CN"/>
        </w:rPr>
        <w:t>县域内</w:t>
      </w:r>
      <w:r>
        <w:rPr>
          <w:rFonts w:hint="eastAsia" w:ascii="仿宋_GB2312" w:eastAsia="仿宋_GB2312"/>
          <w:sz w:val="30"/>
          <w:szCs w:val="30"/>
          <w:highlight w:val="none"/>
          <w:lang w:val="en-US" w:eastAsia="zh-CN"/>
        </w:rPr>
        <w:t>5个行政村的环境保护基础设施建设。</w:t>
      </w:r>
    </w:p>
    <w:p w14:paraId="60DF1BBB">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lang w:eastAsia="zh-CN"/>
        </w:rPr>
        <w:t>“户厕”</w:t>
      </w:r>
      <w:r>
        <w:rPr>
          <w:rFonts w:hint="eastAsia" w:ascii="仿宋_GB2312" w:eastAsia="仿宋_GB2312"/>
          <w:sz w:val="30"/>
          <w:szCs w:val="30"/>
          <w:highlight w:val="none"/>
        </w:rPr>
        <w:t>项目经费</w:t>
      </w:r>
      <w:r>
        <w:rPr>
          <w:rFonts w:hint="eastAsia" w:ascii="仿宋_GB2312" w:eastAsia="仿宋_GB2312"/>
          <w:sz w:val="30"/>
          <w:szCs w:val="30"/>
          <w:highlight w:val="none"/>
          <w:lang w:val="en-US" w:eastAsia="zh-CN"/>
        </w:rPr>
        <w:t>2,047,200.00</w:t>
      </w:r>
      <w:r>
        <w:rPr>
          <w:rFonts w:hint="eastAsia" w:ascii="仿宋_GB2312" w:eastAsia="仿宋_GB2312"/>
          <w:sz w:val="30"/>
          <w:szCs w:val="30"/>
          <w:highlight w:val="none"/>
        </w:rPr>
        <w:t>元，用于</w:t>
      </w:r>
      <w:r>
        <w:rPr>
          <w:rFonts w:hint="eastAsia" w:ascii="仿宋_GB2312" w:eastAsia="仿宋_GB2312"/>
          <w:sz w:val="30"/>
          <w:szCs w:val="30"/>
          <w:highlight w:val="none"/>
          <w:lang w:eastAsia="zh-CN"/>
        </w:rPr>
        <w:t>“户厕”建设补助。</w:t>
      </w:r>
    </w:p>
    <w:p w14:paraId="09183FE7">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lang w:val="en-US" w:eastAsia="zh-CN"/>
        </w:rPr>
      </w:pPr>
      <w:r>
        <w:rPr>
          <w:rFonts w:hint="eastAsia" w:ascii="仿宋_GB2312" w:eastAsia="仿宋_GB2312"/>
          <w:sz w:val="30"/>
          <w:szCs w:val="30"/>
          <w:highlight w:val="none"/>
          <w:lang w:eastAsia="zh-CN"/>
        </w:rPr>
        <w:t>厕所革命及其公厕建设项目资金</w:t>
      </w:r>
      <w:r>
        <w:rPr>
          <w:rFonts w:hint="eastAsia" w:ascii="仿宋_GB2312" w:eastAsia="仿宋_GB2312"/>
          <w:sz w:val="30"/>
          <w:szCs w:val="30"/>
          <w:highlight w:val="none"/>
          <w:lang w:val="en-US" w:eastAsia="zh-CN"/>
        </w:rPr>
        <w:t>3,452,800.00元，用于建设农村公厕。</w:t>
      </w:r>
    </w:p>
    <w:p w14:paraId="78CDA904">
      <w:pPr>
        <w:keepNext w:val="0"/>
        <w:keepLines w:val="0"/>
        <w:pageBreakBefore w:val="0"/>
        <w:widowControl/>
        <w:kinsoku/>
        <w:wordWrap/>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color w:val="FF0000"/>
          <w:sz w:val="30"/>
          <w:szCs w:val="30"/>
          <w:highlight w:val="none"/>
        </w:rPr>
      </w:pPr>
      <w:r>
        <w:rPr>
          <w:rFonts w:hint="eastAsia" w:ascii="仿宋_GB2312" w:eastAsia="仿宋_GB2312"/>
          <w:sz w:val="30"/>
          <w:szCs w:val="30"/>
          <w:highlight w:val="none"/>
          <w:lang w:val="en-US" w:eastAsia="zh-CN"/>
        </w:rPr>
        <w:t>2022年人居环境项目设计费项目217,500.00元，用于支付2022年的人居环境建设项目的设计费用。</w:t>
      </w:r>
    </w:p>
    <w:p w14:paraId="44C7FCC0">
      <w:pPr>
        <w:widowControl/>
        <w:snapToGrid w:val="0"/>
        <w:spacing w:before="100" w:after="100" w:line="600" w:lineRule="exact"/>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三、一般公共预算财政拨款支出决算情况说明</w:t>
      </w:r>
    </w:p>
    <w:p w14:paraId="070C7BCA">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（一）一般公共预算财政拨款支出决算总体情况</w:t>
      </w:r>
    </w:p>
    <w:p w14:paraId="0F4AE938">
      <w:pPr>
        <w:widowControl/>
        <w:snapToGrid w:val="0"/>
        <w:spacing w:before="100" w:after="100" w:line="600" w:lineRule="exact"/>
        <w:ind w:firstLine="600" w:firstLineChars="200"/>
        <w:jc w:val="both"/>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sz w:val="30"/>
          <w:lang w:val="zh-CN"/>
        </w:rPr>
        <w:t>华宁县农村社会事业发展中心</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一般公共预算财政拨款支出</w:t>
      </w:r>
      <w:r>
        <w:rPr>
          <w:rFonts w:hint="eastAsia" w:ascii="仿宋_GB2312" w:hAnsi="仿宋_GB2312" w:eastAsia="仿宋_GB2312" w:cs="仿宋_GB2312"/>
          <w:color w:val="auto"/>
          <w:kern w:val="0"/>
          <w:sz w:val="30"/>
          <w:lang w:val="zh-CN"/>
        </w:rPr>
        <w:t>5,848,203.07</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,占本年支出合计的</w:t>
      </w:r>
      <w:r>
        <w:rPr>
          <w:rFonts w:hint="eastAsia" w:ascii="仿宋_GB2312" w:hAnsi="仿宋_GB2312" w:eastAsia="仿宋_GB2312" w:cs="仿宋_GB2312"/>
          <w:color w:val="auto"/>
          <w:sz w:val="30"/>
          <w:lang w:val="zh-CN"/>
        </w:rPr>
        <w:t>67.78</w:t>
      </w:r>
      <w:r>
        <w:rPr>
          <w:rFonts w:hint="eastAsia" w:ascii="仿宋_GB2312" w:hAnsi="宋体" w:eastAsia="仿宋_GB2312" w:cs="Arial"/>
          <w:kern w:val="0"/>
          <w:sz w:val="30"/>
          <w:szCs w:val="30"/>
          <w:highlight w:val="none"/>
        </w:rPr>
        <w:t>%。与上年</w:t>
      </w:r>
      <w:r>
        <w:rPr>
          <w:rFonts w:hint="eastAsia" w:ascii="仿宋_GB2312" w:hAnsi="宋体" w:eastAsia="仿宋_GB2312" w:cs="Arial"/>
          <w:kern w:val="0"/>
          <w:sz w:val="30"/>
          <w:szCs w:val="30"/>
          <w:highlight w:val="none"/>
          <w:lang w:eastAsia="zh-CN"/>
        </w:rPr>
        <w:t>相比</w:t>
      </w:r>
      <w:r>
        <w:rPr>
          <w:rFonts w:hint="eastAsia" w:ascii="仿宋_GB2312" w:hAnsi="宋体" w:eastAsia="仿宋_GB2312" w:cs="Arial"/>
          <w:kern w:val="0"/>
          <w:sz w:val="30"/>
          <w:szCs w:val="30"/>
          <w:highlight w:val="none"/>
        </w:rPr>
        <w:t>增加</w:t>
      </w:r>
      <w:r>
        <w:rPr>
          <w:rFonts w:hint="eastAsia" w:ascii="仿宋_GB2312" w:hAnsi="仿宋_GB2312" w:eastAsia="仿宋_GB2312" w:cs="仿宋_GB2312"/>
          <w:color w:val="auto"/>
          <w:kern w:val="0"/>
          <w:sz w:val="30"/>
          <w:lang w:val="zh-CN"/>
        </w:rPr>
        <w:t>3,560,063.50</w:t>
      </w:r>
      <w:r>
        <w:rPr>
          <w:rFonts w:hint="eastAsia" w:ascii="仿宋_GB2312" w:hAnsi="宋体" w:eastAsia="仿宋_GB2312" w:cs="Arial"/>
          <w:kern w:val="0"/>
          <w:sz w:val="30"/>
          <w:szCs w:val="30"/>
          <w:highlight w:val="none"/>
        </w:rPr>
        <w:t>元，增长</w:t>
      </w:r>
      <w:r>
        <w:rPr>
          <w:rFonts w:hint="eastAsia" w:ascii="仿宋_GB2312" w:hAnsi="仿宋_GB2312" w:eastAsia="仿宋_GB2312" w:cs="仿宋_GB2312"/>
          <w:color w:val="auto"/>
          <w:kern w:val="0"/>
          <w:sz w:val="30"/>
          <w:lang w:val="zh-CN"/>
        </w:rPr>
        <w:t>155.59</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w:t>
      </w:r>
      <w:r>
        <w:rPr>
          <w:rFonts w:hint="eastAsia" w:ascii="仿宋_GB2312" w:hAnsi="Times New Roman" w:eastAsia="仿宋_GB2312" w:cs="Times New Roman"/>
          <w:sz w:val="30"/>
          <w:szCs w:val="30"/>
          <w:highlight w:val="none"/>
          <w:lang w:val="en-US" w:eastAsia="zh-CN"/>
        </w:rPr>
        <w:t>主要原因是在今年支付以前年度厕所革命资金</w:t>
      </w:r>
      <w:r>
        <w:rPr>
          <w:rFonts w:hint="eastAsia" w:ascii="仿宋_GB2312" w:eastAsia="仿宋_GB2312" w:cs="Times New Roman"/>
          <w:sz w:val="30"/>
          <w:szCs w:val="30"/>
          <w:highlight w:val="none"/>
          <w:lang w:val="en-US" w:eastAsia="zh-CN"/>
        </w:rPr>
        <w:t>4,780,000.</w:t>
      </w:r>
      <w:r>
        <w:rPr>
          <w:rFonts w:hint="eastAsia" w:ascii="仿宋_GB2312" w:hAnsi="Times New Roman" w:eastAsia="仿宋_GB2312" w:cs="Times New Roman"/>
          <w:sz w:val="30"/>
          <w:szCs w:val="30"/>
          <w:highlight w:val="none"/>
          <w:lang w:val="en-US" w:eastAsia="zh-CN"/>
        </w:rPr>
        <w:t>00元，人居环境整治</w:t>
      </w:r>
      <w:r>
        <w:rPr>
          <w:rFonts w:hint="eastAsia" w:ascii="仿宋_GB2312" w:eastAsia="仿宋_GB2312" w:cs="Times New Roman"/>
          <w:sz w:val="30"/>
          <w:szCs w:val="30"/>
          <w:highlight w:val="none"/>
          <w:lang w:val="en-US" w:eastAsia="zh-CN"/>
        </w:rPr>
        <w:t>项目设计</w:t>
      </w:r>
      <w:r>
        <w:rPr>
          <w:rFonts w:hint="eastAsia" w:ascii="仿宋_GB2312" w:hAnsi="Times New Roman" w:eastAsia="仿宋_GB2312" w:cs="Times New Roman"/>
          <w:sz w:val="30"/>
          <w:szCs w:val="30"/>
          <w:highlight w:val="none"/>
          <w:lang w:val="en-US" w:eastAsia="zh-CN"/>
        </w:rPr>
        <w:t>费21</w:t>
      </w:r>
      <w:r>
        <w:rPr>
          <w:rFonts w:hint="eastAsia" w:ascii="仿宋_GB2312" w:eastAsia="仿宋_GB2312" w:cs="Times New Roman"/>
          <w:sz w:val="30"/>
          <w:szCs w:val="30"/>
          <w:highlight w:val="none"/>
          <w:lang w:val="en-US" w:eastAsia="zh-CN"/>
        </w:rPr>
        <w:t>7,500.</w:t>
      </w:r>
      <w:r>
        <w:rPr>
          <w:rFonts w:hint="eastAsia" w:ascii="仿宋_GB2312" w:hAnsi="Times New Roman" w:eastAsia="仿宋_GB2312" w:cs="Times New Roman"/>
          <w:sz w:val="30"/>
          <w:szCs w:val="30"/>
          <w:highlight w:val="none"/>
          <w:lang w:val="en-US" w:eastAsia="zh-CN"/>
        </w:rPr>
        <w:t>00元所致；</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sz w:val="30"/>
          <w:lang w:val="zh-CN"/>
        </w:rPr>
        <w:t>220.55</w:t>
      </w:r>
      <w:r>
        <w:rPr>
          <w:rFonts w:hint="eastAsia" w:ascii="仿宋_GB2312" w:eastAsia="仿宋_GB2312"/>
          <w:sz w:val="30"/>
          <w:szCs w:val="30"/>
          <w:highlight w:val="none"/>
          <w:lang w:val="en-US" w:eastAsia="zh-CN"/>
        </w:rPr>
        <w:t>%，主要是上述以前年度项目资金年初无预算。</w:t>
      </w:r>
    </w:p>
    <w:p w14:paraId="2D56A85D">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（二）一般公共预算财政拨款支出决算</w:t>
      </w:r>
      <w:r>
        <w:rPr>
          <w:rFonts w:hint="eastAsia" w:ascii="楷体" w:hAnsi="楷体" w:eastAsia="楷体"/>
          <w:sz w:val="30"/>
          <w:szCs w:val="30"/>
          <w:highlight w:val="none"/>
          <w:lang w:eastAsia="zh-CN"/>
        </w:rPr>
        <w:t>分功能分类科目情况</w:t>
      </w:r>
      <w:r>
        <w:rPr>
          <w:rFonts w:hint="eastAsia" w:ascii="楷体" w:hAnsi="楷体" w:eastAsia="楷体"/>
          <w:sz w:val="30"/>
          <w:szCs w:val="30"/>
          <w:highlight w:val="none"/>
        </w:rPr>
        <w:tab/>
      </w:r>
    </w:p>
    <w:p w14:paraId="26D5421A">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rPr>
        <w:t>1.一般公共服务（类）支出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p>
    <w:p w14:paraId="7AD9F4EE">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2.外交（类）支出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p>
    <w:p w14:paraId="3C6D58DE">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3.国防（类）支出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p>
    <w:p w14:paraId="0DD36DD5">
      <w:pPr>
        <w:widowControl/>
        <w:snapToGrid w:val="0"/>
        <w:spacing w:before="100" w:after="100" w:line="360" w:lineRule="auto"/>
        <w:ind w:firstLine="600" w:firstLineChars="200"/>
        <w:jc w:val="left"/>
        <w:rPr>
          <w:rFonts w:hint="eastAsia" w:ascii="仿宋_GB2312" w:eastAsia="仿宋_GB2312"/>
          <w:sz w:val="30"/>
          <w:szCs w:val="30"/>
          <w:highlight w:val="none"/>
          <w:lang w:eastAsia="zh-CN"/>
        </w:rPr>
      </w:pPr>
      <w:r>
        <w:rPr>
          <w:rFonts w:hint="eastAsia" w:ascii="仿宋_GB2312" w:hAnsi="宋体" w:eastAsia="仿宋_GB2312" w:cs="Arial"/>
          <w:kern w:val="0"/>
          <w:sz w:val="30"/>
          <w:szCs w:val="30"/>
          <w:highlight w:val="none"/>
        </w:rPr>
        <w:t>4.公共安全（类）支出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p>
    <w:p w14:paraId="4BF56CB4">
      <w:pPr>
        <w:widowControl/>
        <w:snapToGrid w:val="0"/>
        <w:spacing w:before="100" w:after="100" w:line="360" w:lineRule="auto"/>
        <w:ind w:firstLine="600" w:firstLineChars="200"/>
        <w:jc w:val="left"/>
        <w:rPr>
          <w:rFonts w:hint="eastAsia" w:ascii="仿宋_GB2312" w:eastAsia="仿宋_GB2312"/>
          <w:sz w:val="30"/>
          <w:szCs w:val="30"/>
          <w:highlight w:val="none"/>
          <w:lang w:eastAsia="zh-CN"/>
        </w:rPr>
      </w:pPr>
      <w:r>
        <w:rPr>
          <w:rFonts w:hint="eastAsia" w:ascii="仿宋_GB2312" w:hAnsi="仿宋_GB2312" w:eastAsia="仿宋_GB2312" w:cs="仿宋_GB2312"/>
          <w:color w:val="auto"/>
          <w:kern w:val="0"/>
          <w:sz w:val="30"/>
          <w:lang w:val="en-US"/>
        </w:rPr>
        <w:t>5.教育（类）支出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p>
    <w:p w14:paraId="3C71A8F6">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6.科学技术（类）支出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p>
    <w:p w14:paraId="4D80133D">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7.文化旅游体育与传媒（类）支出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p>
    <w:p w14:paraId="2C1642BD">
      <w:pPr>
        <w:widowControl/>
        <w:snapToGrid w:val="0"/>
        <w:spacing w:before="100" w:after="100" w:line="360" w:lineRule="auto"/>
        <w:ind w:firstLine="600" w:firstLineChars="200"/>
        <w:jc w:val="both"/>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8.社会保障和就业（类）支出</w:t>
      </w:r>
      <w:r>
        <w:rPr>
          <w:rFonts w:hint="eastAsia" w:ascii="仿宋_GB2312" w:hAnsi="仿宋_GB2312" w:eastAsia="仿宋_GB2312" w:cs="仿宋_GB2312"/>
          <w:color w:val="auto"/>
          <w:kern w:val="0"/>
          <w:sz w:val="30"/>
          <w:lang w:val="en-US" w:eastAsia="zh-CN"/>
        </w:rPr>
        <w:t>407,182.49</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6.96</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85.63</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rPr>
        <w:t>主要用于</w:t>
      </w:r>
      <w:r>
        <w:rPr>
          <w:rFonts w:hint="eastAsia" w:ascii="仿宋_GB2312" w:hAnsi="宋体" w:eastAsia="仿宋_GB2312" w:cs="Arial"/>
          <w:kern w:val="0"/>
          <w:sz w:val="30"/>
          <w:szCs w:val="30"/>
          <w:highlight w:val="none"/>
          <w:lang w:eastAsia="zh-CN"/>
        </w:rPr>
        <w:t>缴纳单位职工养老保险、职业年金和发放遗属生活补助</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造成预决算差异的主要原因是因财政资金困难，年初预算的退休人员生活补助费</w:t>
      </w:r>
      <w:r>
        <w:rPr>
          <w:rFonts w:hint="eastAsia" w:ascii="仿宋_GB2312" w:hAnsi="宋体" w:eastAsia="仿宋_GB2312" w:cs="Arial"/>
          <w:kern w:val="0"/>
          <w:sz w:val="30"/>
          <w:szCs w:val="30"/>
          <w:highlight w:val="none"/>
          <w:lang w:val="en-US" w:eastAsia="zh-CN"/>
        </w:rPr>
        <w:t>230,400.00元未发放</w:t>
      </w:r>
      <w:r>
        <w:rPr>
          <w:rFonts w:hint="eastAsia" w:ascii="仿宋_GB2312" w:hAnsi="宋体" w:eastAsia="仿宋_GB2312" w:cs="Arial"/>
          <w:kern w:val="0"/>
          <w:sz w:val="30"/>
          <w:szCs w:val="30"/>
          <w:highlight w:val="none"/>
          <w:lang w:eastAsia="zh-CN"/>
        </w:rPr>
        <w:t>。</w:t>
      </w:r>
    </w:p>
    <w:p w14:paraId="33FE968F">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9.卫生健康（类）支出</w:t>
      </w:r>
      <w:r>
        <w:rPr>
          <w:rFonts w:hint="eastAsia" w:ascii="仿宋_GB2312" w:hAnsi="仿宋_GB2312" w:eastAsia="仿宋_GB2312" w:cs="仿宋_GB2312"/>
          <w:color w:val="auto"/>
          <w:kern w:val="0"/>
          <w:sz w:val="30"/>
          <w:lang w:val="zh-CN"/>
        </w:rPr>
        <w:t>246,611.98</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4.22</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101.34</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rPr>
        <w:t>主要用于</w:t>
      </w:r>
      <w:r>
        <w:rPr>
          <w:rFonts w:hint="eastAsia" w:ascii="仿宋_GB2312" w:hAnsi="宋体" w:eastAsia="仿宋_GB2312" w:cs="Arial"/>
          <w:kern w:val="0"/>
          <w:sz w:val="30"/>
          <w:szCs w:val="30"/>
          <w:highlight w:val="none"/>
          <w:lang w:eastAsia="zh-CN"/>
        </w:rPr>
        <w:t>单位职工基本医疗保险、生育保险、公务员医疗补助</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造成预决算差异的主要原因是工资正常增长，社会保险缴费基数相应增加。</w:t>
      </w:r>
    </w:p>
    <w:p w14:paraId="69C553E5">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10.节能环保（类）支出</w:t>
      </w:r>
      <w:r>
        <w:rPr>
          <w:rFonts w:hint="eastAsia" w:ascii="仿宋_GB2312" w:hAnsi="仿宋_GB2312" w:eastAsia="仿宋_GB2312" w:cs="仿宋_GB2312"/>
          <w:color w:val="auto"/>
          <w:kern w:val="0"/>
          <w:sz w:val="30"/>
          <w:lang w:val="zh-CN"/>
        </w:rPr>
        <w:t>300,000.00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5.13</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年初无此预算</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rPr>
        <w:t>主要用于</w:t>
      </w:r>
      <w:r>
        <w:rPr>
          <w:rFonts w:hint="eastAsia" w:ascii="仿宋_GB2312" w:hAnsi="宋体" w:eastAsia="仿宋_GB2312" w:cs="Arial"/>
          <w:kern w:val="0"/>
          <w:sz w:val="30"/>
          <w:szCs w:val="30"/>
          <w:highlight w:val="none"/>
          <w:lang w:eastAsia="zh-CN"/>
        </w:rPr>
        <w:t>我县</w:t>
      </w:r>
      <w:r>
        <w:rPr>
          <w:rFonts w:hint="eastAsia" w:ascii="仿宋_GB2312" w:hAnsi="宋体" w:eastAsia="仿宋_GB2312" w:cs="Arial"/>
          <w:kern w:val="0"/>
          <w:sz w:val="30"/>
          <w:szCs w:val="30"/>
          <w:highlight w:val="none"/>
          <w:lang w:val="en-US" w:eastAsia="zh-CN"/>
        </w:rPr>
        <w:t>5个行政村污水收集治理工程项目建设</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造成预决算差异的主要原因是此项支出是上级项目专项资金，年初无预算数。</w:t>
      </w:r>
    </w:p>
    <w:p w14:paraId="627DC1BF">
      <w:pPr>
        <w:widowControl/>
        <w:snapToGrid w:val="0"/>
        <w:spacing w:before="100" w:after="100" w:line="360" w:lineRule="auto"/>
        <w:ind w:firstLine="600" w:firstLineChars="200"/>
        <w:jc w:val="left"/>
        <w:rPr>
          <w:rFonts w:hint="eastAsia" w:ascii="仿宋_GB2312" w:eastAsia="仿宋_GB2312"/>
          <w:sz w:val="30"/>
          <w:szCs w:val="30"/>
          <w:highlight w:val="none"/>
          <w:lang w:eastAsia="zh-CN"/>
        </w:rPr>
      </w:pPr>
      <w:r>
        <w:rPr>
          <w:rFonts w:hint="eastAsia" w:ascii="仿宋_GB2312" w:hAnsi="仿宋_GB2312" w:eastAsia="仿宋_GB2312" w:cs="仿宋_GB2312"/>
          <w:color w:val="auto"/>
          <w:kern w:val="0"/>
          <w:sz w:val="30"/>
          <w:lang w:val="en-US"/>
        </w:rPr>
        <w:t>11.城乡社区（类）支出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p>
    <w:p w14:paraId="552560A6">
      <w:pPr>
        <w:widowControl/>
        <w:snapToGrid w:val="0"/>
        <w:spacing w:before="100" w:after="100" w:line="360" w:lineRule="auto"/>
        <w:ind w:firstLine="600" w:firstLineChars="200"/>
        <w:jc w:val="both"/>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12.农林水（类）支出</w:t>
      </w:r>
      <w:r>
        <w:rPr>
          <w:rFonts w:hint="eastAsia" w:ascii="仿宋_GB2312" w:hAnsi="仿宋_GB2312" w:eastAsia="仿宋_GB2312" w:cs="仿宋_GB2312"/>
          <w:color w:val="auto"/>
          <w:kern w:val="0"/>
          <w:sz w:val="30"/>
          <w:lang w:val="zh-CN"/>
        </w:rPr>
        <w:t>4,708,464.60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80.51</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270.97</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rPr>
        <w:t>主要用于</w:t>
      </w:r>
      <w:r>
        <w:rPr>
          <w:rFonts w:hint="eastAsia" w:ascii="仿宋_GB2312" w:hAnsi="宋体" w:eastAsia="仿宋_GB2312" w:cs="Arial"/>
          <w:kern w:val="0"/>
          <w:sz w:val="30"/>
          <w:szCs w:val="30"/>
          <w:highlight w:val="none"/>
          <w:lang w:eastAsia="zh-CN"/>
        </w:rPr>
        <w:t>维持单位正常运转职工工资、办公费等支出</w:t>
      </w:r>
      <w:r>
        <w:rPr>
          <w:rFonts w:hint="eastAsia" w:ascii="仿宋_GB2312" w:hAnsi="宋体" w:eastAsia="仿宋_GB2312" w:cs="Arial"/>
          <w:kern w:val="0"/>
          <w:sz w:val="30"/>
          <w:szCs w:val="30"/>
          <w:highlight w:val="none"/>
          <w:lang w:val="en-US" w:eastAsia="zh-CN"/>
        </w:rPr>
        <w:t>1,770,964.60元；农村人居环境项目设计费217,500.00元；农村公厕建设项目及户厕项目补助2,720,000.00元。</w:t>
      </w:r>
      <w:r>
        <w:rPr>
          <w:rFonts w:hint="eastAsia" w:ascii="仿宋_GB2312" w:hAnsi="宋体" w:eastAsia="仿宋_GB2312" w:cs="Arial"/>
          <w:kern w:val="0"/>
          <w:sz w:val="30"/>
          <w:szCs w:val="30"/>
          <w:highlight w:val="none"/>
          <w:lang w:eastAsia="zh-CN"/>
        </w:rPr>
        <w:t>造成预决算差异的主要原因是上述上级项目资金无年初预算。</w:t>
      </w:r>
    </w:p>
    <w:p w14:paraId="5242444B">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13.交通运输（类）支出</w:t>
      </w:r>
      <w:r>
        <w:rPr>
          <w:rFonts w:hint="eastAsia" w:ascii="仿宋_GB2312" w:hAnsi="仿宋_GB2312" w:eastAsia="仿宋_GB2312" w:cs="仿宋_GB2312"/>
          <w:color w:val="auto"/>
          <w:kern w:val="0"/>
          <w:sz w:val="30"/>
          <w:lang w:val="zh-CN"/>
        </w:rPr>
        <w:t>0.00</w:t>
      </w:r>
      <w:r>
        <w:rPr>
          <w:rFonts w:hint="eastAsia" w:ascii="仿宋_GB2312" w:hAnsi="仿宋_GB2312" w:eastAsia="仿宋_GB2312" w:cs="仿宋_GB2312"/>
          <w:color w:val="auto"/>
          <w:kern w:val="0"/>
          <w:sz w:val="30"/>
          <w:lang w:val="en-US" w:eastAsia="zh-CN"/>
        </w:rPr>
        <w:t>元</w:t>
      </w:r>
      <w:r>
        <w:rPr>
          <w:rFonts w:hint="eastAsia" w:ascii="仿宋_GB2312" w:hAnsi="仿宋_GB2312" w:eastAsia="仿宋_GB2312" w:cs="仿宋_GB2312"/>
          <w:color w:val="auto"/>
          <w:kern w:val="0"/>
          <w:sz w:val="30"/>
          <w:lang w:val="en-US"/>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hAnsi="仿宋_GB2312" w:eastAsia="仿宋_GB2312" w:cs="仿宋_GB2312"/>
          <w:color w:val="auto"/>
          <w:kern w:val="0"/>
          <w:sz w:val="30"/>
          <w:lang w:val="en-US"/>
        </w:rPr>
        <w:t>%,</w:t>
      </w:r>
      <w:r>
        <w:rPr>
          <w:rFonts w:hint="eastAsia" w:ascii="仿宋_GB2312" w:hAnsi="仿宋_GB2312" w:eastAsia="仿宋_GB2312" w:cs="仿宋_GB2312"/>
          <w:color w:val="auto"/>
          <w:kern w:val="0"/>
          <w:sz w:val="30"/>
          <w:lang w:val="en-US" w:eastAsia="zh-CN"/>
        </w:rPr>
        <w:t>年初无此项预算</w:t>
      </w:r>
      <w:r>
        <w:rPr>
          <w:rFonts w:hint="eastAsia" w:ascii="仿宋_GB2312" w:hAnsi="宋体" w:eastAsia="仿宋_GB2312" w:cs="Arial"/>
          <w:kern w:val="0"/>
          <w:sz w:val="30"/>
          <w:szCs w:val="30"/>
          <w:highlight w:val="none"/>
          <w:lang w:eastAsia="zh-CN"/>
        </w:rPr>
        <w:t>。</w:t>
      </w:r>
    </w:p>
    <w:p w14:paraId="57582A15">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14.资源勘探工业信息等（类）支出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hAnsi="宋体" w:eastAsia="仿宋_GB2312" w:cs="Arial"/>
          <w:kern w:val="0"/>
          <w:sz w:val="30"/>
          <w:szCs w:val="30"/>
          <w:highlight w:val="none"/>
          <w:lang w:eastAsia="zh-CN"/>
        </w:rPr>
        <w:t>。</w:t>
      </w:r>
    </w:p>
    <w:p w14:paraId="38C072C0">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15.商业服务业等（类）支出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hAnsi="宋体" w:eastAsia="仿宋_GB2312" w:cs="Arial"/>
          <w:kern w:val="0"/>
          <w:sz w:val="30"/>
          <w:szCs w:val="30"/>
          <w:highlight w:val="none"/>
          <w:lang w:eastAsia="zh-CN"/>
        </w:rPr>
        <w:t>。</w:t>
      </w:r>
    </w:p>
    <w:p w14:paraId="36D65625">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16.金融（类）支出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p>
    <w:p w14:paraId="28876C97">
      <w:pPr>
        <w:widowControl/>
        <w:snapToGrid w:val="0"/>
        <w:spacing w:before="100" w:after="100" w:line="360" w:lineRule="auto"/>
        <w:ind w:firstLine="600" w:firstLineChars="200"/>
        <w:jc w:val="left"/>
        <w:rPr>
          <w:rFonts w:hint="eastAsia" w:ascii="仿宋_GB2312" w:eastAsia="仿宋_GB2312"/>
          <w:sz w:val="30"/>
          <w:szCs w:val="30"/>
          <w:highlight w:val="none"/>
          <w:lang w:eastAsia="zh-CN"/>
        </w:rPr>
      </w:pPr>
      <w:r>
        <w:rPr>
          <w:rFonts w:hint="eastAsia" w:ascii="仿宋_GB2312" w:hAnsi="仿宋_GB2312" w:eastAsia="仿宋_GB2312" w:cs="仿宋_GB2312"/>
          <w:color w:val="auto"/>
          <w:kern w:val="0"/>
          <w:sz w:val="30"/>
          <w:lang w:val="en-US"/>
        </w:rPr>
        <w:t>17.援助其他地区（类）支出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p>
    <w:p w14:paraId="6D1A8E26">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18.自然资源海洋气象等（类）支出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hAnsi="宋体" w:eastAsia="仿宋_GB2312" w:cs="Arial"/>
          <w:kern w:val="0"/>
          <w:sz w:val="30"/>
          <w:szCs w:val="30"/>
          <w:highlight w:val="none"/>
          <w:lang w:eastAsia="zh-CN"/>
        </w:rPr>
        <w:t>。</w:t>
      </w:r>
    </w:p>
    <w:p w14:paraId="2F1BB65C">
      <w:pPr>
        <w:widowControl/>
        <w:snapToGrid w:val="0"/>
        <w:spacing w:before="100" w:after="100" w:line="360" w:lineRule="auto"/>
        <w:ind w:firstLine="600" w:firstLineChars="200"/>
        <w:jc w:val="both"/>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19.住房保障（类）支出</w:t>
      </w:r>
      <w:r>
        <w:rPr>
          <w:rFonts w:hint="eastAsia" w:ascii="仿宋_GB2312" w:hAnsi="仿宋_GB2312" w:eastAsia="仿宋_GB2312" w:cs="仿宋_GB2312"/>
          <w:color w:val="auto"/>
          <w:kern w:val="0"/>
          <w:sz w:val="30"/>
          <w:lang w:val="zh-CN"/>
        </w:rPr>
        <w:t>185,944.00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3.18</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95.30</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rPr>
        <w:t>用于</w:t>
      </w:r>
      <w:r>
        <w:rPr>
          <w:rFonts w:hint="eastAsia" w:ascii="仿宋_GB2312" w:hAnsi="宋体" w:eastAsia="仿宋_GB2312" w:cs="Arial"/>
          <w:kern w:val="0"/>
          <w:sz w:val="30"/>
          <w:szCs w:val="30"/>
          <w:highlight w:val="none"/>
          <w:lang w:eastAsia="zh-CN"/>
        </w:rPr>
        <w:t>缴纳单位职工住房公积金</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造成预决算差异的原因主要是财政资金困难，只支付了</w:t>
      </w:r>
      <w:r>
        <w:rPr>
          <w:rFonts w:hint="eastAsia" w:ascii="仿宋_GB2312" w:hAnsi="宋体" w:eastAsia="仿宋_GB2312" w:cs="Arial"/>
          <w:kern w:val="0"/>
          <w:sz w:val="30"/>
          <w:szCs w:val="30"/>
          <w:highlight w:val="none"/>
          <w:lang w:val="en-US" w:eastAsia="zh-CN"/>
        </w:rPr>
        <w:t>10个月分的公积金</w:t>
      </w:r>
      <w:r>
        <w:rPr>
          <w:rFonts w:hint="eastAsia" w:ascii="仿宋_GB2312" w:hAnsi="宋体" w:eastAsia="仿宋_GB2312" w:cs="Arial"/>
          <w:kern w:val="0"/>
          <w:sz w:val="30"/>
          <w:szCs w:val="30"/>
          <w:highlight w:val="none"/>
          <w:lang w:eastAsia="zh-CN"/>
        </w:rPr>
        <w:t>。</w:t>
      </w:r>
    </w:p>
    <w:p w14:paraId="14356DB9">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20.粮油物资储备（类）支出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p>
    <w:p w14:paraId="587EA51B">
      <w:pPr>
        <w:widowControl/>
        <w:snapToGrid w:val="0"/>
        <w:spacing w:before="100" w:after="100" w:line="360" w:lineRule="auto"/>
        <w:ind w:firstLine="600" w:firstLineChars="200"/>
        <w:jc w:val="left"/>
        <w:rPr>
          <w:rFonts w:hint="eastAsia" w:ascii="仿宋_GB2312" w:eastAsia="仿宋_GB2312"/>
          <w:sz w:val="30"/>
          <w:szCs w:val="30"/>
          <w:highlight w:val="none"/>
          <w:lang w:eastAsia="zh-CN"/>
        </w:rPr>
      </w:pPr>
      <w:r>
        <w:rPr>
          <w:rFonts w:hint="eastAsia" w:ascii="仿宋_GB2312" w:hAnsi="仿宋_GB2312" w:eastAsia="仿宋_GB2312" w:cs="仿宋_GB2312"/>
          <w:color w:val="auto"/>
          <w:kern w:val="0"/>
          <w:sz w:val="30"/>
          <w:lang w:val="en-US"/>
        </w:rPr>
        <w:t>21.国有资本经营预算（类）支出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p>
    <w:p w14:paraId="75821AE7">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22.灾害防治及应急管理（类）支出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hAnsi="宋体" w:eastAsia="仿宋_GB2312" w:cs="Arial"/>
          <w:kern w:val="0"/>
          <w:sz w:val="30"/>
          <w:szCs w:val="30"/>
          <w:highlight w:val="none"/>
          <w:lang w:eastAsia="zh-CN"/>
        </w:rPr>
        <w:t>。</w:t>
      </w:r>
    </w:p>
    <w:p w14:paraId="4F493888">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23.其他（类）支出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p>
    <w:p w14:paraId="05225259">
      <w:pPr>
        <w:widowControl/>
        <w:snapToGrid w:val="0"/>
        <w:spacing w:before="100" w:after="100" w:line="360" w:lineRule="auto"/>
        <w:ind w:firstLine="600" w:firstLineChars="200"/>
        <w:jc w:val="left"/>
        <w:rPr>
          <w:rFonts w:hint="eastAsia" w:ascii="仿宋_GB2312" w:eastAsia="仿宋_GB2312"/>
          <w:sz w:val="30"/>
          <w:szCs w:val="30"/>
          <w:highlight w:val="none"/>
          <w:lang w:eastAsia="zh-CN"/>
        </w:rPr>
      </w:pPr>
      <w:r>
        <w:rPr>
          <w:rFonts w:hint="eastAsia" w:ascii="仿宋_GB2312" w:hAnsi="仿宋_GB2312" w:eastAsia="仿宋_GB2312" w:cs="仿宋_GB2312"/>
          <w:color w:val="auto"/>
          <w:kern w:val="0"/>
          <w:sz w:val="30"/>
          <w:lang w:val="en-US"/>
        </w:rPr>
        <w:t>24.债务还本（类）支出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p>
    <w:p w14:paraId="4AC4F95D">
      <w:pPr>
        <w:widowControl/>
        <w:snapToGrid w:val="0"/>
        <w:spacing w:before="100" w:after="100" w:line="360" w:lineRule="auto"/>
        <w:ind w:firstLine="600" w:firstLineChars="200"/>
        <w:jc w:val="left"/>
        <w:rPr>
          <w:rFonts w:hint="eastAsia" w:ascii="仿宋_GB2312" w:eastAsia="仿宋_GB2312"/>
          <w:sz w:val="30"/>
          <w:szCs w:val="30"/>
          <w:highlight w:val="none"/>
          <w:lang w:eastAsia="zh-CN"/>
        </w:rPr>
      </w:pPr>
      <w:r>
        <w:rPr>
          <w:rFonts w:hint="eastAsia" w:ascii="仿宋_GB2312" w:hAnsi="仿宋_GB2312" w:eastAsia="仿宋_GB2312" w:cs="仿宋_GB2312"/>
          <w:color w:val="auto"/>
          <w:kern w:val="0"/>
          <w:sz w:val="30"/>
          <w:lang w:val="en-US"/>
        </w:rPr>
        <w:t>25.债务付息（类）支出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p>
    <w:p w14:paraId="65EDDDAE">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kern w:val="0"/>
          <w:sz w:val="30"/>
          <w:lang w:val="en-US"/>
        </w:rPr>
        <w:t>26.抗疫特别国债安排（类）支出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hAnsi="宋体" w:eastAsia="仿宋_GB2312" w:cs="Arial"/>
          <w:kern w:val="0"/>
          <w:sz w:val="30"/>
          <w:szCs w:val="30"/>
          <w:highlight w:val="none"/>
          <w:lang w:eastAsia="zh-CN"/>
        </w:rPr>
        <w:t>。</w:t>
      </w:r>
    </w:p>
    <w:p w14:paraId="392AEA13">
      <w:pPr>
        <w:widowControl/>
        <w:numPr>
          <w:ilvl w:val="0"/>
          <w:numId w:val="2"/>
        </w:numPr>
        <w:snapToGrid w:val="0"/>
        <w:spacing w:before="100" w:after="100" w:line="360" w:lineRule="auto"/>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财政拨款“三公”经费支出决算情况说明</w:t>
      </w:r>
    </w:p>
    <w:p w14:paraId="2EF62602">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（一）总体情况</w:t>
      </w:r>
    </w:p>
    <w:p w14:paraId="297D6DA8">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color w:val="auto"/>
          <w:sz w:val="30"/>
          <w:szCs w:val="30"/>
          <w:lang w:eastAsia="zh-CN"/>
        </w:rPr>
      </w:pPr>
      <w:r>
        <w:rPr>
          <w:rFonts w:hint="eastAsia" w:ascii="仿宋_GB2312" w:hAnsi="宋体" w:eastAsia="仿宋_GB2312" w:cs="Arial"/>
          <w:kern w:val="0"/>
          <w:sz w:val="30"/>
          <w:szCs w:val="30"/>
          <w:highlight w:val="none"/>
          <w:lang w:val="en-US" w:eastAsia="zh-CN"/>
        </w:rPr>
        <w:t>2025年度</w:t>
      </w:r>
      <w:r>
        <w:rPr>
          <w:rFonts w:hint="eastAsia" w:ascii="仿宋_GB2312" w:hAnsi="宋体" w:eastAsia="仿宋_GB2312" w:cs="Arial"/>
          <w:kern w:val="0"/>
          <w:sz w:val="30"/>
          <w:szCs w:val="30"/>
          <w:highlight w:val="none"/>
        </w:rPr>
        <w:t>财政拨款“三公”经费支出决算中，财政拨款“三公”经费支出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kern w:val="0"/>
          <w:sz w:val="30"/>
          <w:lang w:val="en-US" w:eastAsia="zh-CN"/>
        </w:rPr>
        <w:t>9,000.00</w:t>
      </w:r>
      <w:r>
        <w:rPr>
          <w:rFonts w:hint="eastAsia" w:ascii="仿宋_GB2312" w:hAnsi="宋体" w:eastAsia="仿宋_GB2312" w:cs="Arial"/>
          <w:kern w:val="0"/>
          <w:sz w:val="30"/>
          <w:szCs w:val="30"/>
          <w:highlight w:val="none"/>
        </w:rPr>
        <w:t>元，决算为</w:t>
      </w:r>
      <w:r>
        <w:rPr>
          <w:rFonts w:hint="eastAsia" w:ascii="仿宋_GB2312" w:hAnsi="仿宋_GB2312" w:eastAsia="仿宋_GB2312" w:cs="仿宋_GB2312"/>
          <w:color w:val="000000"/>
          <w:sz w:val="30"/>
          <w:lang w:val="zh-CN"/>
        </w:rPr>
        <w:t>2,242.00</w:t>
      </w:r>
      <w:r>
        <w:rPr>
          <w:rFonts w:hint="eastAsia" w:ascii="仿宋_GB2312" w:hAnsi="宋体" w:eastAsia="仿宋_GB2312" w:cs="Arial"/>
          <w:kern w:val="0"/>
          <w:sz w:val="30"/>
          <w:szCs w:val="30"/>
          <w:highlight w:val="none"/>
        </w:rPr>
        <w:t>元，完成</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预算的</w:t>
      </w:r>
      <w:r>
        <w:rPr>
          <w:rFonts w:hint="eastAsia" w:ascii="仿宋_GB2312" w:hAnsi="仿宋_GB2312" w:eastAsia="仿宋_GB2312" w:cs="仿宋_GB2312"/>
          <w:color w:val="000000"/>
          <w:sz w:val="30"/>
          <w:lang w:val="zh-CN"/>
        </w:rPr>
        <w:t>24.91</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；支出决算较上年增加</w:t>
      </w:r>
      <w:r>
        <w:rPr>
          <w:rFonts w:hint="eastAsia" w:ascii="仿宋_GB2312" w:hAnsi="仿宋_GB2312" w:eastAsia="仿宋_GB2312" w:cs="仿宋_GB2312"/>
          <w:color w:val="000000"/>
          <w:sz w:val="30"/>
          <w:lang w:val="zh-CN"/>
        </w:rPr>
        <w:t>2,242.00</w:t>
      </w:r>
      <w:r>
        <w:rPr>
          <w:rFonts w:hint="eastAsia" w:ascii="仿宋_GB2312" w:hAnsi="宋体" w:eastAsia="仿宋_GB2312" w:cs="Arial"/>
          <w:kern w:val="0"/>
          <w:sz w:val="30"/>
          <w:szCs w:val="30"/>
          <w:highlight w:val="none"/>
          <w:lang w:val="en-US" w:eastAsia="zh-CN"/>
        </w:rPr>
        <w:t>元，上年无此项支出</w:t>
      </w:r>
      <w:r>
        <w:rPr>
          <w:rFonts w:hint="eastAsia" w:ascii="仿宋_GB2312" w:eastAsia="仿宋_GB2312"/>
          <w:color w:val="auto"/>
          <w:sz w:val="30"/>
          <w:szCs w:val="30"/>
          <w:lang w:eastAsia="zh-CN"/>
        </w:rPr>
        <w:t>。</w:t>
      </w:r>
    </w:p>
    <w:p w14:paraId="08C00DA0">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both"/>
        <w:textAlignment w:val="auto"/>
        <w:rPr>
          <w:rFonts w:hint="eastAsia" w:ascii="仿宋_GB2312" w:eastAsia="仿宋_GB2312"/>
          <w:color w:val="FF0000"/>
          <w:sz w:val="30"/>
          <w:szCs w:val="30"/>
          <w:lang w:eastAsia="zh-CN"/>
        </w:rPr>
      </w:pPr>
      <w:r>
        <w:rPr>
          <w:rFonts w:hint="eastAsia" w:ascii="仿宋_GB2312" w:hAnsi="宋体" w:eastAsia="仿宋_GB2312" w:cs="Arial"/>
          <w:kern w:val="0"/>
          <w:sz w:val="30"/>
          <w:szCs w:val="30"/>
          <w:highlight w:val="none"/>
        </w:rPr>
        <w:t>因公出国（境）费</w:t>
      </w:r>
      <w:r>
        <w:rPr>
          <w:rFonts w:hint="eastAsia" w:ascii="仿宋_GB2312" w:hAnsi="宋体" w:eastAsia="仿宋_GB2312" w:cs="Arial"/>
          <w:kern w:val="0"/>
          <w:sz w:val="30"/>
          <w:szCs w:val="30"/>
          <w:highlight w:val="none"/>
          <w:lang w:val="en-US" w:eastAsia="zh-CN"/>
        </w:rPr>
        <w:t>用用</w:t>
      </w:r>
      <w:r>
        <w:rPr>
          <w:rFonts w:hint="eastAsia" w:ascii="仿宋_GB2312" w:hAnsi="宋体" w:eastAsia="仿宋_GB2312" w:cs="Arial"/>
          <w:kern w:val="0"/>
          <w:sz w:val="30"/>
          <w:szCs w:val="30"/>
          <w:highlight w:val="none"/>
        </w:rPr>
        <w:t>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%；公务用车购置费支出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%；公务用车</w:t>
      </w:r>
      <w:r>
        <w:rPr>
          <w:rFonts w:hint="eastAsia" w:ascii="仿宋_GB2312" w:hAnsi="宋体" w:eastAsia="仿宋_GB2312" w:cs="Arial"/>
          <w:kern w:val="0"/>
          <w:sz w:val="30"/>
          <w:szCs w:val="30"/>
          <w:highlight w:val="none"/>
          <w:lang w:eastAsia="zh-CN"/>
        </w:rPr>
        <w:t>运行维护</w:t>
      </w:r>
      <w:r>
        <w:rPr>
          <w:rFonts w:hint="eastAsia" w:ascii="仿宋_GB2312" w:hAnsi="宋体" w:eastAsia="仿宋_GB2312" w:cs="Arial"/>
          <w:kern w:val="0"/>
          <w:sz w:val="30"/>
          <w:szCs w:val="30"/>
          <w:highlight w:val="none"/>
        </w:rPr>
        <w:t>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rPr>
        <w:t>公务接待费支出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9,000.00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2,242.00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仿宋_GB2312" w:eastAsia="仿宋_GB2312" w:cs="仿宋_GB2312"/>
          <w:color w:val="000000"/>
          <w:sz w:val="30"/>
          <w:lang w:val="zh-CN"/>
        </w:rPr>
        <w:t>100.00</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，完成年初预算的</w:t>
      </w:r>
      <w:r>
        <w:rPr>
          <w:rFonts w:hint="eastAsia" w:ascii="仿宋_GB2312" w:hAnsi="仿宋_GB2312" w:eastAsia="仿宋_GB2312" w:cs="仿宋_GB2312"/>
          <w:color w:val="000000"/>
          <w:sz w:val="30"/>
          <w:lang w:val="zh-CN"/>
        </w:rPr>
        <w:t>24.91</w:t>
      </w:r>
      <w:r>
        <w:rPr>
          <w:rFonts w:hint="eastAsia" w:ascii="仿宋_GB2312" w:hAnsi="宋体" w:eastAsia="仿宋_GB2312" w:cs="Arial"/>
          <w:kern w:val="0"/>
          <w:sz w:val="30"/>
          <w:szCs w:val="30"/>
          <w:highlight w:val="none"/>
          <w:lang w:val="en-US" w:eastAsia="zh-CN"/>
        </w:rPr>
        <w:t>%。</w:t>
      </w:r>
    </w:p>
    <w:p w14:paraId="6D48A606">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eastAsia="仿宋_GB2312"/>
          <w:sz w:val="30"/>
          <w:szCs w:val="30"/>
          <w:highlight w:val="none"/>
        </w:rPr>
        <w:t>因公出国（境）费</w:t>
      </w:r>
      <w:r>
        <w:rPr>
          <w:rFonts w:hint="eastAsia" w:ascii="仿宋_GB2312" w:eastAsia="仿宋_GB2312"/>
          <w:sz w:val="30"/>
          <w:szCs w:val="30"/>
          <w:highlight w:val="none"/>
          <w:lang w:val="en-US" w:eastAsia="zh-CN"/>
        </w:rPr>
        <w:t>用</w:t>
      </w:r>
      <w:r>
        <w:rPr>
          <w:rFonts w:hint="eastAsia" w:ascii="仿宋_GB2312" w:hAnsi="宋体" w:eastAsia="仿宋_GB2312" w:cs="Arial"/>
          <w:kern w:val="0"/>
          <w:sz w:val="30"/>
          <w:szCs w:val="30"/>
          <w:highlight w:val="none"/>
          <w:lang w:eastAsia="zh-CN"/>
        </w:rPr>
        <w:t>支出决算较上年增加</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val="en-US" w:eastAsia="zh-CN"/>
        </w:rPr>
        <w:t>元，上年无此项支出</w:t>
      </w:r>
      <w:r>
        <w:rPr>
          <w:rFonts w:hint="eastAsia" w:ascii="仿宋_GB2312" w:hAnsi="宋体" w:eastAsia="仿宋_GB2312" w:cs="Arial"/>
          <w:kern w:val="0"/>
          <w:sz w:val="30"/>
          <w:szCs w:val="30"/>
          <w:highlight w:val="none"/>
          <w:lang w:eastAsia="zh-CN"/>
        </w:rPr>
        <w:t>；</w:t>
      </w:r>
      <w:r>
        <w:rPr>
          <w:rFonts w:hint="eastAsia" w:ascii="仿宋_GB2312" w:eastAsia="仿宋_GB2312"/>
          <w:sz w:val="30"/>
          <w:szCs w:val="30"/>
          <w:highlight w:val="none"/>
        </w:rPr>
        <w:t>公务用车购置费</w:t>
      </w:r>
      <w:r>
        <w:rPr>
          <w:rFonts w:hint="eastAsia" w:ascii="仿宋_GB2312" w:hAnsi="宋体" w:eastAsia="仿宋_GB2312" w:cs="Arial"/>
          <w:kern w:val="0"/>
          <w:sz w:val="30"/>
          <w:szCs w:val="30"/>
          <w:highlight w:val="none"/>
          <w:lang w:eastAsia="zh-CN"/>
        </w:rPr>
        <w:t>支出决算较上年增加</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val="en-US" w:eastAsia="zh-CN"/>
        </w:rPr>
        <w:t>元，上年无此项支出</w:t>
      </w:r>
      <w:r>
        <w:rPr>
          <w:rFonts w:hint="eastAsia" w:ascii="仿宋_GB2312" w:hAnsi="宋体" w:eastAsia="仿宋_GB2312" w:cs="Arial"/>
          <w:kern w:val="0"/>
          <w:sz w:val="30"/>
          <w:szCs w:val="30"/>
          <w:highlight w:val="none"/>
          <w:lang w:eastAsia="zh-CN"/>
        </w:rPr>
        <w:t>；</w:t>
      </w:r>
      <w:r>
        <w:rPr>
          <w:rFonts w:hint="eastAsia" w:ascii="仿宋_GB2312" w:eastAsia="仿宋_GB2312"/>
          <w:sz w:val="30"/>
          <w:szCs w:val="30"/>
          <w:highlight w:val="none"/>
        </w:rPr>
        <w:t>公务用车</w:t>
      </w:r>
      <w:r>
        <w:rPr>
          <w:rFonts w:hint="eastAsia" w:ascii="仿宋_GB2312" w:eastAsia="仿宋_GB2312"/>
          <w:sz w:val="30"/>
          <w:szCs w:val="30"/>
          <w:highlight w:val="none"/>
          <w:lang w:eastAsia="zh-CN"/>
        </w:rPr>
        <w:t>运行维护费</w:t>
      </w:r>
      <w:r>
        <w:rPr>
          <w:rFonts w:hint="eastAsia" w:ascii="仿宋_GB2312" w:hAnsi="宋体" w:eastAsia="仿宋_GB2312" w:cs="Arial"/>
          <w:kern w:val="0"/>
          <w:sz w:val="30"/>
          <w:szCs w:val="30"/>
          <w:highlight w:val="none"/>
          <w:lang w:eastAsia="zh-CN"/>
        </w:rPr>
        <w:t>支出决算较上年增加</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val="en-US" w:eastAsia="zh-CN"/>
        </w:rPr>
        <w:t>元，上年无此项支出</w:t>
      </w:r>
      <w:r>
        <w:rPr>
          <w:rFonts w:hint="eastAsia" w:ascii="仿宋_GB2312" w:hAnsi="宋体" w:eastAsia="仿宋_GB2312" w:cs="Arial"/>
          <w:kern w:val="0"/>
          <w:sz w:val="30"/>
          <w:szCs w:val="30"/>
          <w:highlight w:val="none"/>
          <w:lang w:eastAsia="zh-CN"/>
        </w:rPr>
        <w:t>；</w:t>
      </w:r>
      <w:r>
        <w:rPr>
          <w:rFonts w:hint="eastAsia" w:ascii="仿宋_GB2312" w:eastAsia="仿宋_GB2312"/>
          <w:sz w:val="30"/>
          <w:szCs w:val="30"/>
          <w:highlight w:val="none"/>
        </w:rPr>
        <w:t>公务接待费</w:t>
      </w:r>
      <w:r>
        <w:rPr>
          <w:rFonts w:hint="eastAsia" w:ascii="仿宋_GB2312" w:hAnsi="宋体" w:eastAsia="仿宋_GB2312" w:cs="Arial"/>
          <w:kern w:val="0"/>
          <w:sz w:val="30"/>
          <w:szCs w:val="30"/>
          <w:highlight w:val="none"/>
          <w:lang w:eastAsia="zh-CN"/>
        </w:rPr>
        <w:t>支出决算较上年增加</w:t>
      </w:r>
      <w:r>
        <w:rPr>
          <w:rFonts w:hint="eastAsia" w:ascii="仿宋_GB2312" w:hAnsi="仿宋_GB2312" w:eastAsia="仿宋_GB2312" w:cs="仿宋_GB2312"/>
          <w:color w:val="000000"/>
          <w:sz w:val="30"/>
          <w:lang w:val="zh-CN"/>
        </w:rPr>
        <w:t>2,242.00</w:t>
      </w:r>
      <w:r>
        <w:rPr>
          <w:rFonts w:hint="eastAsia" w:ascii="仿宋_GB2312" w:hAnsi="宋体" w:eastAsia="仿宋_GB2312" w:cs="Arial"/>
          <w:kern w:val="0"/>
          <w:sz w:val="30"/>
          <w:szCs w:val="30"/>
          <w:highlight w:val="none"/>
          <w:lang w:val="en-US" w:eastAsia="zh-CN"/>
        </w:rPr>
        <w:t>元，上年无此项支出</w:t>
      </w:r>
      <w:r>
        <w:rPr>
          <w:rFonts w:hint="eastAsia" w:ascii="仿宋_GB2312" w:hAnsi="宋体" w:eastAsia="仿宋_GB2312" w:cs="Arial"/>
          <w:kern w:val="0"/>
          <w:sz w:val="30"/>
          <w:szCs w:val="30"/>
          <w:highlight w:val="none"/>
          <w:lang w:eastAsia="zh-CN"/>
        </w:rPr>
        <w:t>；具体是国内接待费支出决算</w:t>
      </w:r>
      <w:r>
        <w:rPr>
          <w:rFonts w:hint="eastAsia" w:ascii="仿宋_GB2312" w:hAnsi="仿宋_GB2312" w:eastAsia="仿宋_GB2312" w:cs="仿宋_GB2312"/>
          <w:color w:val="000000"/>
          <w:sz w:val="30"/>
          <w:lang w:val="zh-CN"/>
        </w:rPr>
        <w:t>2,242.00</w:t>
      </w:r>
      <w:r>
        <w:rPr>
          <w:rFonts w:hint="eastAsia" w:ascii="仿宋_GB2312" w:hAnsi="宋体" w:eastAsia="仿宋_GB2312" w:cs="Arial"/>
          <w:kern w:val="0"/>
          <w:sz w:val="30"/>
          <w:szCs w:val="30"/>
          <w:highlight w:val="none"/>
          <w:lang w:eastAsia="zh-CN"/>
        </w:rPr>
        <w:t>元（其中：外事接待费支出决算</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eastAsia="zh-CN"/>
        </w:rPr>
        <w:t>元），较上年增加</w:t>
      </w:r>
      <w:r>
        <w:rPr>
          <w:rFonts w:hint="eastAsia" w:ascii="仿宋_GB2312" w:hAnsi="仿宋_GB2312" w:eastAsia="仿宋_GB2312" w:cs="仿宋_GB2312"/>
          <w:color w:val="000000"/>
          <w:sz w:val="30"/>
          <w:lang w:val="zh-CN"/>
        </w:rPr>
        <w:t>2,242.00</w:t>
      </w:r>
      <w:r>
        <w:rPr>
          <w:rFonts w:hint="eastAsia" w:ascii="仿宋_GB2312" w:hAnsi="宋体" w:eastAsia="仿宋_GB2312" w:cs="Arial"/>
          <w:kern w:val="0"/>
          <w:sz w:val="30"/>
          <w:szCs w:val="30"/>
          <w:highlight w:val="none"/>
          <w:lang w:val="en-US" w:eastAsia="zh-CN"/>
        </w:rPr>
        <w:t>元，上年无此项支出；</w:t>
      </w:r>
      <w:r>
        <w:rPr>
          <w:rFonts w:hint="eastAsia" w:ascii="仿宋_GB2312" w:hAnsi="宋体" w:eastAsia="仿宋_GB2312" w:cs="Arial"/>
          <w:kern w:val="0"/>
          <w:sz w:val="30"/>
          <w:szCs w:val="30"/>
          <w:highlight w:val="none"/>
          <w:lang w:eastAsia="zh-CN"/>
        </w:rPr>
        <w:t>国（境）外接待费支出决算</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eastAsia="zh-CN"/>
        </w:rPr>
        <w:t>元，较上年增加</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val="en-US" w:eastAsia="zh-CN"/>
        </w:rPr>
        <w:t>元，上年无此项支出</w:t>
      </w:r>
      <w:r>
        <w:rPr>
          <w:rFonts w:hint="eastAsia" w:ascii="仿宋_GB2312" w:hAnsi="宋体" w:eastAsia="仿宋_GB2312" w:cs="Arial"/>
          <w:kern w:val="0"/>
          <w:sz w:val="30"/>
          <w:szCs w:val="30"/>
          <w:highlight w:val="none"/>
          <w:lang w:eastAsia="zh-CN"/>
        </w:rPr>
        <w:t>。</w:t>
      </w:r>
    </w:p>
    <w:p w14:paraId="136D473B">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（二）一般公共预算财政拨款“三公”经费支出决算情况说明</w:t>
      </w:r>
    </w:p>
    <w:p w14:paraId="51125531">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both"/>
        <w:textAlignment w:val="auto"/>
        <w:rPr>
          <w:rFonts w:hint="eastAsia" w:ascii="仿宋_GB2312" w:hAnsi="宋体" w:eastAsia="仿宋_GB2312" w:cs="Arial"/>
          <w:kern w:val="0"/>
          <w:sz w:val="30"/>
          <w:szCs w:val="30"/>
          <w:highlight w:val="none"/>
          <w:lang w:eastAsia="zh-CN"/>
        </w:rPr>
      </w:pP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一般公共预算财政拨款“三公”经费支出</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9,000.00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，支出决算为</w:t>
      </w:r>
      <w:r>
        <w:rPr>
          <w:rFonts w:hint="eastAsia" w:ascii="仿宋_GB2312" w:hAnsi="仿宋_GB2312" w:eastAsia="仿宋_GB2312" w:cs="仿宋_GB2312"/>
          <w:color w:val="000000"/>
          <w:sz w:val="30"/>
          <w:lang w:val="zh-CN"/>
        </w:rPr>
        <w:t>2,242.00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，完成</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预算的</w:t>
      </w:r>
      <w:r>
        <w:rPr>
          <w:rFonts w:hint="eastAsia" w:ascii="仿宋_GB2312" w:hAnsi="仿宋_GB2312" w:eastAsia="仿宋_GB2312" w:cs="仿宋_GB2312"/>
          <w:color w:val="000000"/>
          <w:sz w:val="30"/>
          <w:lang w:val="zh-CN"/>
        </w:rPr>
        <w:t>24.91</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hAnsi="宋体" w:eastAsia="仿宋_GB2312" w:cs="Arial"/>
          <w:kern w:val="0"/>
          <w:sz w:val="30"/>
          <w:szCs w:val="30"/>
          <w:highlight w:val="none"/>
          <w:lang w:eastAsia="zh-CN"/>
        </w:rPr>
        <w:t>支出决算较上年增加</w:t>
      </w:r>
      <w:r>
        <w:rPr>
          <w:rFonts w:hint="eastAsia" w:ascii="仿宋_GB2312" w:hAnsi="仿宋_GB2312" w:eastAsia="仿宋_GB2312" w:cs="仿宋_GB2312"/>
          <w:color w:val="000000"/>
          <w:sz w:val="30"/>
          <w:lang w:val="zh-CN"/>
        </w:rPr>
        <w:t>2,242.00</w:t>
      </w:r>
      <w:r>
        <w:rPr>
          <w:rFonts w:hint="eastAsia" w:ascii="仿宋_GB2312" w:hAnsi="宋体" w:eastAsia="仿宋_GB2312" w:cs="Arial"/>
          <w:kern w:val="0"/>
          <w:sz w:val="30"/>
          <w:szCs w:val="30"/>
          <w:highlight w:val="none"/>
          <w:lang w:val="en-US" w:eastAsia="zh-CN"/>
        </w:rPr>
        <w:t>元，上年无此项支出</w:t>
      </w:r>
      <w:r>
        <w:rPr>
          <w:rFonts w:hint="eastAsia" w:ascii="仿宋_GB2312" w:hAnsi="宋体" w:eastAsia="仿宋_GB2312" w:cs="Arial"/>
          <w:kern w:val="0"/>
          <w:sz w:val="30"/>
          <w:szCs w:val="30"/>
          <w:highlight w:val="none"/>
          <w:lang w:eastAsia="zh-CN"/>
        </w:rPr>
        <w:t>。</w:t>
      </w:r>
    </w:p>
    <w:p w14:paraId="316E491B">
      <w:pPr>
        <w:widowControl/>
        <w:snapToGrid w:val="0"/>
        <w:spacing w:before="100" w:after="100" w:line="360" w:lineRule="auto"/>
        <w:ind w:firstLine="600" w:firstLineChars="200"/>
        <w:jc w:val="both"/>
        <w:rPr>
          <w:rFonts w:hint="eastAsia" w:ascii="仿宋_GB2312" w:eastAsia="仿宋_GB2312"/>
          <w:sz w:val="30"/>
          <w:szCs w:val="30"/>
          <w:highlight w:val="none"/>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中：</w:t>
      </w:r>
      <w:r>
        <w:rPr>
          <w:rFonts w:hint="eastAsia" w:ascii="仿宋_GB2312" w:eastAsia="仿宋_GB2312"/>
          <w:sz w:val="30"/>
          <w:szCs w:val="30"/>
          <w:highlight w:val="none"/>
        </w:rPr>
        <w:t>因公出国（境）费</w:t>
      </w:r>
      <w:r>
        <w:rPr>
          <w:rFonts w:hint="eastAsia" w:ascii="仿宋_GB2312" w:eastAsia="仿宋_GB2312"/>
          <w:sz w:val="30"/>
          <w:szCs w:val="30"/>
          <w:highlight w:val="none"/>
          <w:lang w:val="en-US" w:eastAsia="zh-CN"/>
        </w:rPr>
        <w:t>用</w:t>
      </w:r>
      <w:r>
        <w:rPr>
          <w:rFonts w:hint="eastAsia" w:ascii="仿宋_GB2312" w:eastAsia="仿宋_GB2312"/>
          <w:sz w:val="30"/>
          <w:szCs w:val="30"/>
          <w:highlight w:val="none"/>
        </w:rPr>
        <w:t>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；公务用车购置费支出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；公务用车</w:t>
      </w:r>
      <w:r>
        <w:rPr>
          <w:rFonts w:hint="eastAsia" w:ascii="仿宋_GB2312" w:eastAsia="仿宋_GB2312"/>
          <w:sz w:val="30"/>
          <w:szCs w:val="30"/>
          <w:highlight w:val="none"/>
          <w:lang w:eastAsia="zh-CN"/>
        </w:rPr>
        <w:t>运行维护费</w:t>
      </w:r>
      <w:r>
        <w:rPr>
          <w:rFonts w:hint="eastAsia" w:ascii="仿宋_GB2312" w:eastAsia="仿宋_GB2312"/>
          <w:sz w:val="30"/>
          <w:szCs w:val="30"/>
          <w:highlight w:val="none"/>
        </w:rPr>
        <w:t>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；公务接待费支出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9,000.00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2,242.00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，完成</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预算的</w:t>
      </w:r>
      <w:r>
        <w:rPr>
          <w:rFonts w:hint="eastAsia" w:ascii="仿宋_GB2312" w:hAnsi="仿宋_GB2312" w:eastAsia="仿宋_GB2312" w:cs="仿宋_GB2312"/>
          <w:color w:val="000000"/>
          <w:sz w:val="30"/>
          <w:lang w:val="zh-CN"/>
        </w:rPr>
        <w:t>24.91</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一般公共预算财政拨款“三公”经费支出决算数小于</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预算数的主要原因</w:t>
      </w:r>
      <w:r>
        <w:rPr>
          <w:rFonts w:hint="eastAsia" w:ascii="仿宋_GB2312" w:eastAsia="仿宋_GB2312"/>
          <w:sz w:val="30"/>
          <w:szCs w:val="30"/>
          <w:highlight w:val="none"/>
          <w:lang w:eastAsia="zh-CN"/>
        </w:rPr>
        <w:t>是单位厉行节约，坚持非必要不开支</w:t>
      </w:r>
      <w:r>
        <w:rPr>
          <w:rFonts w:hint="eastAsia" w:ascii="仿宋_GB2312" w:eastAsia="仿宋_GB2312"/>
          <w:sz w:val="30"/>
          <w:szCs w:val="30"/>
          <w:highlight w:val="none"/>
        </w:rPr>
        <w:t>。</w:t>
      </w:r>
    </w:p>
    <w:p w14:paraId="7F0EBD29">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both"/>
        <w:textAlignment w:val="auto"/>
        <w:rPr>
          <w:rFonts w:hint="eastAsia" w:ascii="仿宋_GB2312" w:eastAsia="仿宋_GB2312"/>
          <w:sz w:val="30"/>
          <w:szCs w:val="30"/>
          <w:highlight w:val="none"/>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中：</w:t>
      </w:r>
      <w:r>
        <w:rPr>
          <w:rFonts w:hint="eastAsia" w:ascii="仿宋_GB2312" w:eastAsia="仿宋_GB2312"/>
          <w:sz w:val="30"/>
          <w:szCs w:val="30"/>
          <w:highlight w:val="none"/>
        </w:rPr>
        <w:t>因公出国（境）费</w:t>
      </w:r>
      <w:r>
        <w:rPr>
          <w:rFonts w:hint="eastAsia" w:ascii="仿宋_GB2312" w:eastAsia="仿宋_GB2312"/>
          <w:sz w:val="30"/>
          <w:szCs w:val="30"/>
          <w:highlight w:val="none"/>
          <w:lang w:val="en-US" w:eastAsia="zh-CN"/>
        </w:rPr>
        <w:t>用</w:t>
      </w:r>
      <w:r>
        <w:rPr>
          <w:rFonts w:hint="eastAsia" w:ascii="仿宋_GB2312" w:eastAsia="仿宋_GB2312"/>
          <w:sz w:val="30"/>
          <w:szCs w:val="30"/>
          <w:highlight w:val="none"/>
        </w:rPr>
        <w:t>支出决算增加</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上年无此项支出</w:t>
      </w:r>
      <w:r>
        <w:rPr>
          <w:rFonts w:hint="eastAsia" w:ascii="仿宋_GB2312" w:eastAsia="仿宋_GB2312"/>
          <w:sz w:val="30"/>
          <w:szCs w:val="30"/>
          <w:highlight w:val="none"/>
        </w:rPr>
        <w:t>；公务用车购置费支出决算增加</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上年无此项支出</w:t>
      </w:r>
      <w:r>
        <w:rPr>
          <w:rFonts w:hint="eastAsia" w:ascii="仿宋_GB2312" w:eastAsia="仿宋_GB2312"/>
          <w:sz w:val="30"/>
          <w:szCs w:val="30"/>
          <w:highlight w:val="none"/>
        </w:rPr>
        <w:t>；公务用车</w:t>
      </w:r>
      <w:r>
        <w:rPr>
          <w:rFonts w:hint="eastAsia" w:ascii="仿宋_GB2312" w:eastAsia="仿宋_GB2312"/>
          <w:sz w:val="30"/>
          <w:szCs w:val="30"/>
          <w:highlight w:val="none"/>
          <w:lang w:eastAsia="zh-CN"/>
        </w:rPr>
        <w:t>运行维护费</w:t>
      </w:r>
      <w:r>
        <w:rPr>
          <w:rFonts w:hint="eastAsia" w:ascii="仿宋_GB2312" w:eastAsia="仿宋_GB2312"/>
          <w:sz w:val="30"/>
          <w:szCs w:val="30"/>
          <w:highlight w:val="none"/>
        </w:rPr>
        <w:t>支出决算增加</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上年无此项支出</w:t>
      </w:r>
      <w:r>
        <w:rPr>
          <w:rFonts w:hint="eastAsia" w:ascii="仿宋_GB2312" w:eastAsia="仿宋_GB2312"/>
          <w:sz w:val="30"/>
          <w:szCs w:val="30"/>
          <w:highlight w:val="none"/>
        </w:rPr>
        <w:t>；公务接待费支出决算增加</w:t>
      </w:r>
      <w:r>
        <w:rPr>
          <w:rFonts w:hint="eastAsia" w:ascii="仿宋_GB2312" w:hAnsi="仿宋_GB2312" w:eastAsia="仿宋_GB2312" w:cs="仿宋_GB2312"/>
          <w:color w:val="000000"/>
          <w:sz w:val="30"/>
          <w:lang w:val="zh-CN"/>
        </w:rPr>
        <w:t>2,242.00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上年无此项支出，</w:t>
      </w:r>
      <w:r>
        <w:rPr>
          <w:rFonts w:hint="eastAsia" w:ascii="仿宋_GB2312" w:hAnsi="宋体" w:eastAsia="仿宋_GB2312" w:cs="Arial"/>
          <w:kern w:val="0"/>
          <w:sz w:val="30"/>
          <w:szCs w:val="30"/>
          <w:highlight w:val="none"/>
          <w:lang w:eastAsia="zh-CN"/>
        </w:rPr>
        <w:t>具体是国内接待费支出决算</w:t>
      </w:r>
      <w:r>
        <w:rPr>
          <w:rFonts w:hint="eastAsia" w:ascii="仿宋_GB2312" w:hAnsi="仿宋_GB2312" w:eastAsia="仿宋_GB2312" w:cs="仿宋_GB2312"/>
          <w:color w:val="000000"/>
          <w:sz w:val="30"/>
          <w:lang w:val="zh-CN"/>
        </w:rPr>
        <w:t>2,242.00</w:t>
      </w:r>
      <w:r>
        <w:rPr>
          <w:rFonts w:hint="eastAsia" w:ascii="仿宋_GB2312" w:hAnsi="宋体" w:eastAsia="仿宋_GB2312" w:cs="Arial"/>
          <w:kern w:val="0"/>
          <w:sz w:val="30"/>
          <w:szCs w:val="30"/>
          <w:highlight w:val="none"/>
          <w:lang w:eastAsia="zh-CN"/>
        </w:rPr>
        <w:t>元（其中：外事接待费支出决算</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eastAsia="zh-CN"/>
        </w:rPr>
        <w:t>元），较上年增加</w:t>
      </w:r>
      <w:r>
        <w:rPr>
          <w:rFonts w:hint="eastAsia" w:ascii="仿宋_GB2312" w:hAnsi="宋体" w:eastAsia="仿宋_GB2312" w:cs="Arial"/>
          <w:kern w:val="0"/>
          <w:sz w:val="30"/>
          <w:szCs w:val="30"/>
          <w:highlight w:val="none"/>
          <w:lang w:val="en-US" w:eastAsia="zh-CN"/>
        </w:rPr>
        <w:t>2,242.00元，</w:t>
      </w:r>
      <w:r>
        <w:rPr>
          <w:rFonts w:hint="eastAsia" w:ascii="仿宋_GB2312" w:eastAsia="仿宋_GB2312"/>
          <w:sz w:val="30"/>
          <w:szCs w:val="30"/>
          <w:highlight w:val="none"/>
          <w:lang w:eastAsia="zh-CN"/>
        </w:rPr>
        <w:t>上年无此项支出；</w:t>
      </w:r>
      <w:r>
        <w:rPr>
          <w:rFonts w:hint="eastAsia" w:ascii="仿宋_GB2312" w:hAnsi="宋体" w:eastAsia="仿宋_GB2312" w:cs="Arial"/>
          <w:kern w:val="0"/>
          <w:sz w:val="30"/>
          <w:szCs w:val="30"/>
          <w:highlight w:val="none"/>
          <w:lang w:eastAsia="zh-CN"/>
        </w:rPr>
        <w:t>国（境）外接待费支出决算</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eastAsia="zh-CN"/>
        </w:rPr>
        <w:t>元，较上年增加</w:t>
      </w:r>
      <w:r>
        <w:rPr>
          <w:rFonts w:hint="eastAsia" w:ascii="仿宋_GB2312" w:hAnsi="宋体" w:eastAsia="仿宋_GB2312" w:cs="Arial"/>
          <w:kern w:val="0"/>
          <w:sz w:val="30"/>
          <w:szCs w:val="30"/>
          <w:highlight w:val="none"/>
          <w:lang w:val="en-US" w:eastAsia="zh-CN"/>
        </w:rPr>
        <w:t>0.00元，</w:t>
      </w:r>
      <w:r>
        <w:rPr>
          <w:rFonts w:hint="eastAsia" w:ascii="仿宋_GB2312" w:eastAsia="仿宋_GB2312"/>
          <w:sz w:val="30"/>
          <w:szCs w:val="30"/>
          <w:highlight w:val="none"/>
          <w:lang w:eastAsia="zh-CN"/>
        </w:rPr>
        <w:t>上年无此项支出</w:t>
      </w:r>
      <w:r>
        <w:rPr>
          <w:rFonts w:hint="eastAsia" w:ascii="仿宋_GB2312" w:hAnsi="宋体" w:eastAsia="仿宋_GB2312" w:cs="Arial"/>
          <w:kern w:val="0"/>
          <w:sz w:val="30"/>
          <w:szCs w:val="30"/>
          <w:highlight w:val="none"/>
          <w:lang w:eastAsia="zh-CN"/>
        </w:rPr>
        <w:t>。</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一般公共预算财政拨款“三公”经费支出决算增加的主要原因</w:t>
      </w:r>
      <w:r>
        <w:rPr>
          <w:rFonts w:hint="eastAsia" w:ascii="仿宋_GB2312" w:eastAsia="仿宋_GB2312"/>
          <w:sz w:val="30"/>
          <w:szCs w:val="30"/>
          <w:highlight w:val="none"/>
          <w:lang w:eastAsia="zh-CN"/>
        </w:rPr>
        <w:t>是财政资金困难，上年的接待费在</w:t>
      </w:r>
      <w:r>
        <w:rPr>
          <w:rFonts w:hint="eastAsia" w:ascii="仿宋_GB2312" w:eastAsia="仿宋_GB2312"/>
          <w:sz w:val="30"/>
          <w:szCs w:val="30"/>
          <w:highlight w:val="none"/>
          <w:lang w:val="en-US" w:eastAsia="zh-CN"/>
        </w:rPr>
        <w:t>2025年支付所致</w:t>
      </w:r>
      <w:r>
        <w:rPr>
          <w:rFonts w:hint="eastAsia" w:ascii="仿宋_GB2312" w:eastAsia="仿宋_GB2312"/>
          <w:sz w:val="30"/>
          <w:szCs w:val="30"/>
          <w:highlight w:val="none"/>
        </w:rPr>
        <w:t>。</w:t>
      </w:r>
    </w:p>
    <w:p w14:paraId="614510D5">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实物量的</w:t>
      </w:r>
      <w:r>
        <w:rPr>
          <w:rFonts w:hint="eastAsia" w:ascii="仿宋_GB2312" w:eastAsia="仿宋_GB2312"/>
          <w:sz w:val="30"/>
          <w:szCs w:val="30"/>
          <w:highlight w:val="none"/>
        </w:rPr>
        <w:t>具体情况</w:t>
      </w:r>
      <w:r>
        <w:rPr>
          <w:rFonts w:hint="eastAsia" w:ascii="仿宋_GB2312" w:eastAsia="仿宋_GB2312"/>
          <w:sz w:val="30"/>
          <w:szCs w:val="30"/>
          <w:highlight w:val="none"/>
          <w:lang w:eastAsia="zh-CN"/>
        </w:rPr>
        <w:t>：</w:t>
      </w:r>
    </w:p>
    <w:p w14:paraId="351321E4">
      <w:pPr>
        <w:widowControl/>
        <w:snapToGrid w:val="0"/>
        <w:spacing w:before="100" w:after="100" w:line="360" w:lineRule="auto"/>
        <w:ind w:firstLine="600" w:firstLineChars="200"/>
        <w:jc w:val="left"/>
        <w:rPr>
          <w:rFonts w:hint="eastAsia" w:ascii="仿宋_GB2312" w:eastAsia="仿宋_GB2312"/>
          <w:b w:val="0"/>
          <w:bCs/>
          <w:sz w:val="30"/>
          <w:szCs w:val="30"/>
          <w:highlight w:val="none"/>
        </w:rPr>
      </w:pPr>
      <w:r>
        <w:rPr>
          <w:rFonts w:hint="eastAsia" w:ascii="仿宋_GB2312" w:eastAsia="仿宋_GB2312"/>
          <w:b w:val="0"/>
          <w:bCs/>
          <w:sz w:val="30"/>
          <w:szCs w:val="30"/>
          <w:highlight w:val="none"/>
        </w:rPr>
        <w:t>1.安排因公出国（境）团组</w:t>
      </w:r>
      <w:r>
        <w:rPr>
          <w:rFonts w:hint="eastAsia" w:ascii="仿宋_GB2312" w:hAnsi="仿宋_GB2312" w:eastAsia="仿宋_GB2312" w:cs="仿宋_GB2312"/>
          <w:color w:val="000000"/>
          <w:sz w:val="30"/>
          <w:lang w:val="zh-CN"/>
        </w:rPr>
        <w:t>0</w:t>
      </w:r>
      <w:r>
        <w:rPr>
          <w:rFonts w:hint="eastAsia" w:ascii="仿宋_GB2312" w:eastAsia="仿宋_GB2312"/>
          <w:b w:val="0"/>
          <w:bCs/>
          <w:sz w:val="30"/>
          <w:szCs w:val="30"/>
          <w:highlight w:val="none"/>
        </w:rPr>
        <w:t>个，累计</w:t>
      </w:r>
      <w:r>
        <w:rPr>
          <w:rFonts w:hint="eastAsia" w:ascii="仿宋_GB2312" w:hAnsi="仿宋_GB2312" w:eastAsia="仿宋_GB2312" w:cs="仿宋_GB2312"/>
          <w:color w:val="000000"/>
          <w:sz w:val="30"/>
          <w:lang w:val="zh-CN"/>
        </w:rPr>
        <w:t>0</w:t>
      </w:r>
      <w:r>
        <w:rPr>
          <w:rFonts w:hint="eastAsia" w:ascii="仿宋_GB2312" w:eastAsia="仿宋_GB2312"/>
          <w:b w:val="0"/>
          <w:bCs/>
          <w:sz w:val="30"/>
          <w:szCs w:val="30"/>
          <w:highlight w:val="none"/>
        </w:rPr>
        <w:t>人次。</w:t>
      </w:r>
    </w:p>
    <w:p w14:paraId="102B85AA">
      <w:pPr>
        <w:widowControl/>
        <w:snapToGrid w:val="0"/>
        <w:spacing w:before="100" w:after="100" w:line="360" w:lineRule="auto"/>
        <w:ind w:firstLine="600" w:firstLineChars="200"/>
        <w:jc w:val="left"/>
        <w:rPr>
          <w:rFonts w:hint="eastAsia" w:ascii="仿宋_GB2312" w:eastAsia="仿宋_GB2312"/>
          <w:b w:val="0"/>
          <w:bCs/>
          <w:sz w:val="30"/>
          <w:szCs w:val="30"/>
          <w:highlight w:val="none"/>
        </w:rPr>
      </w:pPr>
      <w:r>
        <w:rPr>
          <w:rFonts w:hint="eastAsia" w:ascii="仿宋_GB2312" w:eastAsia="仿宋_GB2312"/>
          <w:b w:val="0"/>
          <w:bCs/>
          <w:sz w:val="30"/>
          <w:szCs w:val="30"/>
          <w:highlight w:val="none"/>
        </w:rPr>
        <w:t>2.购置车辆</w:t>
      </w:r>
      <w:r>
        <w:rPr>
          <w:rFonts w:hint="eastAsia" w:ascii="仿宋_GB2312" w:hAnsi="仿宋_GB2312" w:eastAsia="仿宋_GB2312" w:cs="仿宋_GB2312"/>
          <w:color w:val="000000"/>
          <w:sz w:val="30"/>
          <w:lang w:val="zh-CN"/>
        </w:rPr>
        <w:t>0</w:t>
      </w:r>
      <w:r>
        <w:rPr>
          <w:rFonts w:hint="eastAsia" w:ascii="仿宋_GB2312" w:eastAsia="仿宋_GB2312"/>
          <w:b w:val="0"/>
          <w:bCs/>
          <w:sz w:val="30"/>
          <w:szCs w:val="30"/>
          <w:highlight w:val="none"/>
        </w:rPr>
        <w:t>辆。开支一般公共预算财政拨款的公务用车保有量为</w:t>
      </w:r>
      <w:r>
        <w:rPr>
          <w:rFonts w:hint="eastAsia" w:ascii="仿宋_GB2312" w:hAnsi="仿宋_GB2312" w:eastAsia="仿宋_GB2312" w:cs="仿宋_GB2312"/>
          <w:color w:val="000000"/>
          <w:sz w:val="30"/>
          <w:lang w:val="zh-CN"/>
        </w:rPr>
        <w:t>0</w:t>
      </w:r>
      <w:r>
        <w:rPr>
          <w:rFonts w:hint="eastAsia" w:ascii="仿宋_GB2312" w:eastAsia="仿宋_GB2312"/>
          <w:b w:val="0"/>
          <w:bCs/>
          <w:sz w:val="30"/>
          <w:szCs w:val="30"/>
          <w:highlight w:val="none"/>
        </w:rPr>
        <w:t>辆。</w:t>
      </w:r>
    </w:p>
    <w:p w14:paraId="1F227BD0">
      <w:pPr>
        <w:widowControl/>
        <w:snapToGrid w:val="0"/>
        <w:spacing w:before="100" w:after="100" w:line="360" w:lineRule="auto"/>
        <w:ind w:firstLine="600" w:firstLineChars="200"/>
        <w:jc w:val="both"/>
        <w:rPr>
          <w:rFonts w:hint="eastAsia" w:ascii="仿宋_GB2312" w:eastAsia="仿宋_GB2312"/>
          <w:b w:val="0"/>
          <w:bCs/>
          <w:color w:val="FF0000"/>
          <w:sz w:val="30"/>
          <w:szCs w:val="30"/>
          <w:highlight w:val="none"/>
          <w:lang w:eastAsia="zh-CN"/>
        </w:rPr>
      </w:pPr>
      <w:r>
        <w:rPr>
          <w:rFonts w:hint="eastAsia" w:ascii="仿宋_GB2312" w:eastAsia="仿宋_GB2312"/>
          <w:b w:val="0"/>
          <w:bCs/>
          <w:sz w:val="30"/>
          <w:szCs w:val="30"/>
          <w:highlight w:val="none"/>
        </w:rPr>
        <w:t>3.安排</w:t>
      </w:r>
      <w:r>
        <w:rPr>
          <w:rFonts w:hint="eastAsia" w:ascii="仿宋_GB2312" w:eastAsia="仿宋_GB2312"/>
          <w:sz w:val="30"/>
          <w:szCs w:val="30"/>
          <w:highlight w:val="none"/>
        </w:rPr>
        <w:t>国内公务接待</w:t>
      </w:r>
      <w:r>
        <w:rPr>
          <w:rFonts w:hint="eastAsia" w:ascii="仿宋_GB2312" w:hAnsi="仿宋_GB2312" w:eastAsia="仿宋_GB2312" w:cs="仿宋_GB2312"/>
          <w:color w:val="000000"/>
          <w:sz w:val="30"/>
          <w:lang w:val="zh-CN"/>
        </w:rPr>
        <w:t>7</w:t>
      </w:r>
      <w:r>
        <w:rPr>
          <w:rFonts w:hint="eastAsia" w:ascii="仿宋_GB2312" w:eastAsia="仿宋_GB2312"/>
          <w:sz w:val="30"/>
          <w:szCs w:val="30"/>
          <w:highlight w:val="none"/>
        </w:rPr>
        <w:t>批次（其中：外事接待</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批次），接待人次</w:t>
      </w:r>
      <w:r>
        <w:rPr>
          <w:rFonts w:hint="eastAsia" w:ascii="仿宋_GB2312" w:hAnsi="仿宋_GB2312" w:eastAsia="仿宋_GB2312" w:cs="仿宋_GB2312"/>
          <w:color w:val="000000"/>
          <w:sz w:val="30"/>
          <w:lang w:val="zh-CN"/>
        </w:rPr>
        <w:t>46</w:t>
      </w:r>
      <w:r>
        <w:rPr>
          <w:rFonts w:hint="eastAsia" w:ascii="仿宋_GB2312" w:eastAsia="仿宋_GB2312"/>
          <w:sz w:val="30"/>
          <w:szCs w:val="30"/>
          <w:highlight w:val="none"/>
        </w:rPr>
        <w:t>人（其中：外事接待人次</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人）。用</w:t>
      </w:r>
      <w:r>
        <w:rPr>
          <w:rFonts w:hint="eastAsia" w:ascii="仿宋_GB2312" w:eastAsia="仿宋_GB2312"/>
          <w:sz w:val="30"/>
          <w:szCs w:val="30"/>
          <w:highlight w:val="none"/>
          <w:lang w:eastAsia="zh-CN"/>
        </w:rPr>
        <w:t>于农村“六必拆”工作会议乡镇参会人员</w:t>
      </w:r>
      <w:r>
        <w:rPr>
          <w:rFonts w:hint="eastAsia" w:ascii="仿宋_GB2312" w:eastAsia="仿宋_GB2312"/>
          <w:sz w:val="30"/>
          <w:szCs w:val="30"/>
          <w:highlight w:val="none"/>
          <w:lang w:val="en-US" w:eastAsia="zh-CN"/>
        </w:rPr>
        <w:t>13人餐费260.00元；“千万工程”乡村振兴示范村摸底调查市级来人2人餐费60.00元；农村人居环境整治督导市农业农村局来人5人餐费358.00元；农村厕所革命市农村社会事业促进科来人6人餐费640.00元；市级绿美村庄建设实地核查市农业农村局来人5人餐费280.00元；学习推广浙江“千万工程”会议乡镇来人10人餐费400.00元；农村人居环境整治工作对接盘溪镇来人5人餐费244.00元</w:t>
      </w:r>
      <w:r>
        <w:rPr>
          <w:rFonts w:hint="eastAsia" w:ascii="仿宋_GB2312" w:eastAsia="仿宋_GB2312"/>
          <w:sz w:val="30"/>
          <w:szCs w:val="30"/>
          <w:highlight w:val="none"/>
        </w:rPr>
        <w:t>。安排国（境）外公务接待</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批次，接待人次</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人。</w:t>
      </w:r>
    </w:p>
    <w:p w14:paraId="0AB52917">
      <w:pPr>
        <w:widowControl/>
        <w:snapToGrid w:val="0"/>
        <w:spacing w:before="100" w:after="100" w:line="360" w:lineRule="auto"/>
        <w:ind w:firstLine="600" w:firstLineChars="200"/>
        <w:jc w:val="left"/>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（三）需要说明的事项</w:t>
      </w:r>
    </w:p>
    <w:p w14:paraId="1A27ED7F">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lang w:eastAsia="zh-CN"/>
        </w:rPr>
        <w:t>不存在需要说明的事项。</w:t>
      </w:r>
    </w:p>
    <w:p w14:paraId="7E2CF9A4">
      <w:pPr>
        <w:widowControl/>
        <w:snapToGrid w:val="0"/>
        <w:spacing w:before="100" w:after="100" w:line="360" w:lineRule="auto"/>
        <w:ind w:firstLine="600" w:firstLineChars="200"/>
        <w:jc w:val="left"/>
        <w:rPr>
          <w:rFonts w:hint="eastAsia" w:ascii="仿宋_GB2312" w:eastAsia="仿宋_GB2312"/>
          <w:sz w:val="30"/>
          <w:szCs w:val="30"/>
          <w:highlight w:val="none"/>
          <w:lang w:eastAsia="zh-CN"/>
        </w:rPr>
      </w:pPr>
    </w:p>
    <w:p w14:paraId="732F73AC">
      <w:pPr>
        <w:widowControl/>
        <w:snapToGrid w:val="0"/>
        <w:spacing w:before="100" w:after="100" w:line="360" w:lineRule="auto"/>
        <w:ind w:firstLine="640" w:firstLineChars="200"/>
        <w:jc w:val="center"/>
        <w:outlineLvl w:val="0"/>
        <w:rPr>
          <w:rFonts w:hint="eastAsia" w:ascii="仿宋_GB2312" w:eastAsia="仿宋_GB2312"/>
          <w:sz w:val="32"/>
          <w:szCs w:val="32"/>
          <w:highlight w:val="none"/>
        </w:rPr>
      </w:pPr>
      <w:bookmarkStart w:id="0" w:name="_GoBack"/>
      <w:r>
        <w:rPr>
          <w:rFonts w:hint="eastAsia" w:ascii="黑体" w:hAnsi="黑体" w:eastAsia="黑体" w:cs="方正小标宋简体"/>
          <w:sz w:val="32"/>
          <w:szCs w:val="32"/>
          <w:highlight w:val="none"/>
        </w:rPr>
        <w:t xml:space="preserve">第四部分  </w:t>
      </w:r>
      <w:r>
        <w:rPr>
          <w:rFonts w:hint="eastAsia" w:ascii="黑体" w:hAnsi="黑体" w:eastAsia="黑体"/>
          <w:sz w:val="32"/>
          <w:szCs w:val="32"/>
          <w:highlight w:val="none"/>
        </w:rPr>
        <w:t>其他重要事项及相关口径情况说明</w:t>
      </w:r>
    </w:p>
    <w:bookmarkEnd w:id="0"/>
    <w:p w14:paraId="6DA2876A">
      <w:pPr>
        <w:ind w:firstLine="600" w:firstLineChars="200"/>
        <w:jc w:val="left"/>
        <w:outlineLvl w:val="1"/>
        <w:rPr>
          <w:rFonts w:hint="eastAsia" w:ascii="黑体" w:hAnsi="黑体" w:eastAsia="黑体" w:cs="黑体"/>
          <w:sz w:val="30"/>
          <w:szCs w:val="30"/>
          <w:highlight w:val="none"/>
        </w:rPr>
      </w:pPr>
      <w:r>
        <w:rPr>
          <w:rFonts w:hint="eastAsia" w:ascii="黑体" w:hAnsi="黑体" w:eastAsia="黑体" w:cs="黑体"/>
          <w:sz w:val="30"/>
          <w:szCs w:val="30"/>
          <w:highlight w:val="none"/>
        </w:rPr>
        <w:t>一</w:t>
      </w:r>
      <w:r>
        <w:rPr>
          <w:rFonts w:hint="eastAsia" w:ascii="黑体" w:hAnsi="黑体" w:eastAsia="黑体" w:cs="黑体"/>
          <w:sz w:val="30"/>
          <w:szCs w:val="30"/>
          <w:highlight w:val="none"/>
          <w:lang w:eastAsia="zh-CN"/>
        </w:rPr>
        <w:t>、</w:t>
      </w:r>
      <w:r>
        <w:rPr>
          <w:rFonts w:hint="eastAsia" w:ascii="黑体" w:hAnsi="黑体" w:eastAsia="黑体" w:cs="黑体"/>
          <w:sz w:val="30"/>
          <w:szCs w:val="30"/>
          <w:highlight w:val="none"/>
        </w:rPr>
        <w:t>机关运行经费支出情况</w:t>
      </w:r>
    </w:p>
    <w:p w14:paraId="266F2CA9">
      <w:pPr>
        <w:ind w:firstLine="600" w:firstLineChars="200"/>
        <w:jc w:val="left"/>
        <w:rPr>
          <w:rFonts w:hint="eastAsia" w:ascii="仿宋_GB2312" w:hAnsi="黑体" w:eastAsia="仿宋_GB2312" w:cs="方正小标宋简体"/>
          <w:sz w:val="30"/>
          <w:szCs w:val="30"/>
          <w:highlight w:val="none"/>
        </w:rPr>
      </w:pPr>
      <w:r>
        <w:rPr>
          <w:rFonts w:hint="eastAsia" w:ascii="仿宋_GB2312" w:eastAsia="仿宋_GB2312"/>
          <w:sz w:val="30"/>
          <w:szCs w:val="30"/>
          <w:highlight w:val="none"/>
          <w:lang w:val="zh-CN" w:eastAsia="zh-CN"/>
        </w:rPr>
        <w:t>华宁县农村社会事业发展中心</w:t>
      </w:r>
      <w:r>
        <w:rPr>
          <w:rFonts w:hint="eastAsia" w:ascii="仿宋_GB2312" w:eastAsia="仿宋_GB2312"/>
          <w:sz w:val="30"/>
          <w:szCs w:val="30"/>
          <w:highlight w:val="none"/>
          <w:lang w:val="en-US" w:eastAsia="zh-CN"/>
        </w:rPr>
        <w:t>2025年机关运行经费支出0.00元，与上年对比无变化，</w:t>
      </w:r>
      <w:r>
        <w:rPr>
          <w:rFonts w:hint="eastAsia" w:ascii="仿宋_GB2312" w:eastAsia="仿宋_GB2312"/>
          <w:sz w:val="30"/>
          <w:szCs w:val="30"/>
          <w:highlight w:val="none"/>
          <w:lang w:eastAsia="zh-CN"/>
        </w:rPr>
        <w:t>主要原因是华宁县农村社会事业发展中心为其他事业单位，无机关运行经费。</w:t>
      </w:r>
    </w:p>
    <w:p w14:paraId="3BC02701">
      <w:pPr>
        <w:widowControl/>
        <w:ind w:firstLine="600" w:firstLineChars="200"/>
        <w:outlineLvl w:val="1"/>
        <w:rPr>
          <w:rFonts w:hint="eastAsia" w:ascii="黑体" w:hAnsi="黑体" w:eastAsia="黑体" w:cs="黑体"/>
          <w:color w:val="000000"/>
          <w:kern w:val="0"/>
          <w:sz w:val="30"/>
          <w:szCs w:val="30"/>
          <w:highlight w:val="none"/>
        </w:rPr>
      </w:pPr>
      <w:r>
        <w:rPr>
          <w:rFonts w:hint="eastAsia" w:ascii="黑体" w:hAnsi="黑体" w:eastAsia="黑体" w:cs="黑体"/>
          <w:color w:val="000000"/>
          <w:kern w:val="0"/>
          <w:sz w:val="30"/>
          <w:szCs w:val="30"/>
          <w:highlight w:val="none"/>
          <w:lang w:eastAsia="zh-CN"/>
        </w:rPr>
        <w:t>二、</w:t>
      </w:r>
      <w:r>
        <w:rPr>
          <w:rFonts w:hint="eastAsia" w:ascii="黑体" w:hAnsi="黑体" w:eastAsia="黑体" w:cs="黑体"/>
          <w:color w:val="000000"/>
          <w:kern w:val="0"/>
          <w:sz w:val="30"/>
          <w:szCs w:val="30"/>
          <w:highlight w:val="none"/>
        </w:rPr>
        <w:t>国有资产占用情况</w:t>
      </w:r>
    </w:p>
    <w:p w14:paraId="39258E37">
      <w:pPr>
        <w:widowControl/>
        <w:ind w:firstLine="600" w:firstLineChars="200"/>
        <w:jc w:val="both"/>
        <w:rPr>
          <w:rFonts w:hint="eastAsia" w:ascii="仿宋_GB2312" w:hAnsi="黑体" w:eastAsia="仿宋_GB2312" w:cs="方正小标宋简体"/>
          <w:color w:val="000000"/>
          <w:kern w:val="0"/>
          <w:sz w:val="30"/>
          <w:szCs w:val="30"/>
          <w:highlight w:val="none"/>
        </w:rPr>
      </w:pPr>
      <w:r>
        <w:rPr>
          <w:rFonts w:hint="eastAsia" w:ascii="仿宋_GB2312" w:hAnsi="仿宋_GB2312" w:eastAsia="仿宋_GB2312" w:cs="仿宋_GB2312"/>
          <w:sz w:val="30"/>
          <w:szCs w:val="30"/>
          <w:highlight w:val="none"/>
          <w:lang w:eastAsia="zh-CN"/>
        </w:rPr>
        <w:t>截至202</w:t>
      </w:r>
      <w:r>
        <w:rPr>
          <w:rFonts w:hint="eastAsia" w:ascii="仿宋_GB2312" w:hAnsi="仿宋_GB2312" w:eastAsia="仿宋_GB2312" w:cs="仿宋_GB2312"/>
          <w:sz w:val="30"/>
          <w:szCs w:val="30"/>
          <w:highlight w:val="none"/>
          <w:lang w:val="en-US" w:eastAsia="zh-CN"/>
        </w:rPr>
        <w:t>5</w:t>
      </w:r>
      <w:r>
        <w:rPr>
          <w:rFonts w:hint="eastAsia" w:ascii="仿宋_GB2312" w:hAnsi="仿宋_GB2312" w:eastAsia="仿宋_GB2312" w:cs="仿宋_GB2312"/>
          <w:sz w:val="30"/>
          <w:szCs w:val="30"/>
          <w:highlight w:val="none"/>
          <w:lang w:eastAsia="zh-CN"/>
        </w:rPr>
        <w:t>年末，</w:t>
      </w:r>
      <w:r>
        <w:rPr>
          <w:rFonts w:hint="eastAsia" w:ascii="仿宋_GB2312" w:hAnsi="仿宋_GB2312" w:eastAsia="仿宋_GB2312" w:cs="仿宋_GB2312"/>
          <w:color w:val="auto"/>
          <w:sz w:val="30"/>
          <w:lang w:val="zh-CN"/>
        </w:rPr>
        <w:t>华宁县农村社会事业发展中心</w:t>
      </w:r>
      <w:r>
        <w:rPr>
          <w:rFonts w:hint="eastAsia" w:ascii="仿宋_GB2312" w:hAnsi="仿宋_GB2312" w:eastAsia="仿宋_GB2312" w:cs="仿宋_GB2312"/>
          <w:sz w:val="30"/>
          <w:szCs w:val="30"/>
          <w:highlight w:val="none"/>
          <w:lang w:eastAsia="zh-CN"/>
        </w:rPr>
        <w:t>资产总额9,079,628.42元，其中，流动资产224.27元，固定资产52,719.46元（净值），对外投资及有价证券</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元，在建工程9,026,684.69元，无形资产</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元（净值），其他资产</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元（净值）（具体内容详见附表）</w:t>
      </w:r>
      <w:r>
        <w:rPr>
          <w:rFonts w:hint="eastAsia" w:ascii="仿宋_GB2312" w:hAnsi="黑体" w:eastAsia="仿宋_GB2312" w:cs="方正小标宋简体"/>
          <w:color w:val="000000"/>
          <w:kern w:val="0"/>
          <w:sz w:val="30"/>
          <w:szCs w:val="30"/>
          <w:highlight w:val="none"/>
        </w:rPr>
        <w:t>。与上年相比，本年资产总额增加</w:t>
      </w:r>
      <w:r>
        <w:rPr>
          <w:rFonts w:hint="eastAsia" w:ascii="仿宋_GB2312" w:hAnsi="黑体" w:eastAsia="仿宋_GB2312" w:cs="方正小标宋简体"/>
          <w:color w:val="000000"/>
          <w:kern w:val="0"/>
          <w:sz w:val="30"/>
          <w:szCs w:val="30"/>
          <w:highlight w:val="none"/>
          <w:lang w:val="en-US" w:eastAsia="zh-CN"/>
        </w:rPr>
        <w:t>3,543,460.29</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，其中固定资产减少</w:t>
      </w:r>
      <w:r>
        <w:rPr>
          <w:rFonts w:hint="eastAsia" w:ascii="仿宋_GB2312" w:hAnsi="黑体" w:eastAsia="仿宋_GB2312" w:cs="方正小标宋简体"/>
          <w:color w:val="000000"/>
          <w:kern w:val="0"/>
          <w:sz w:val="30"/>
          <w:szCs w:val="30"/>
          <w:highlight w:val="none"/>
          <w:lang w:val="en-US" w:eastAsia="zh-CN"/>
        </w:rPr>
        <w:t>9,236.04</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。处置房屋建筑物</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rPr>
        <w:t>平方米，账面原值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；处置车辆</w:t>
      </w:r>
      <w:r>
        <w:rPr>
          <w:rFonts w:hint="eastAsia" w:ascii="仿宋_GB2312" w:hAnsi="黑体" w:eastAsia="仿宋_GB2312" w:cs="方正小标宋简体"/>
          <w:color w:val="000000"/>
          <w:kern w:val="0"/>
          <w:sz w:val="30"/>
          <w:szCs w:val="30"/>
          <w:highlight w:val="none"/>
          <w:lang w:val="en-US" w:eastAsia="zh-CN"/>
        </w:rPr>
        <w:t>0</w:t>
      </w:r>
      <w:r>
        <w:rPr>
          <w:rFonts w:hint="eastAsia" w:ascii="仿宋_GB2312" w:hAnsi="黑体" w:eastAsia="仿宋_GB2312" w:cs="方正小标宋简体"/>
          <w:color w:val="000000"/>
          <w:kern w:val="0"/>
          <w:sz w:val="30"/>
          <w:szCs w:val="30"/>
          <w:highlight w:val="none"/>
        </w:rPr>
        <w:t>辆，账面原值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；报废报损资产</w:t>
      </w:r>
      <w:r>
        <w:rPr>
          <w:rFonts w:hint="eastAsia" w:ascii="仿宋_GB2312" w:hAnsi="黑体" w:eastAsia="仿宋_GB2312" w:cs="方正小标宋简体"/>
          <w:color w:val="000000"/>
          <w:kern w:val="0"/>
          <w:sz w:val="30"/>
          <w:szCs w:val="30"/>
          <w:highlight w:val="none"/>
          <w:lang w:val="en-US" w:eastAsia="zh-CN"/>
        </w:rPr>
        <w:t>0</w:t>
      </w:r>
      <w:r>
        <w:rPr>
          <w:rFonts w:hint="eastAsia" w:ascii="仿宋_GB2312" w:hAnsi="黑体" w:eastAsia="仿宋_GB2312" w:cs="方正小标宋简体"/>
          <w:color w:val="000000"/>
          <w:kern w:val="0"/>
          <w:sz w:val="30"/>
          <w:szCs w:val="30"/>
          <w:highlight w:val="none"/>
        </w:rPr>
        <w:t>项，账面原值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，实现资产处置收入</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；出租房屋</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rPr>
        <w:t>平方米，账面原值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，实现资产使用收入</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w:t>
      </w:r>
    </w:p>
    <w:p w14:paraId="1CEDF846">
      <w:pPr>
        <w:widowControl/>
        <w:ind w:firstLine="600" w:firstLineChars="200"/>
        <w:rPr>
          <w:rFonts w:hint="eastAsia" w:ascii="仿宋_GB2312" w:hAnsi="黑体" w:eastAsia="仿宋_GB2312" w:cs="方正小标宋简体"/>
          <w:color w:val="000000"/>
          <w:kern w:val="0"/>
          <w:sz w:val="30"/>
          <w:szCs w:val="30"/>
          <w:highlight w:val="none"/>
          <w:lang w:eastAsia="zh-CN"/>
        </w:rPr>
      </w:pPr>
      <w:r>
        <w:rPr>
          <w:rFonts w:hint="eastAsia" w:ascii="仿宋_GB2312" w:hAnsi="黑体" w:eastAsia="仿宋_GB2312" w:cs="方正小标宋简体"/>
          <w:color w:val="000000"/>
          <w:kern w:val="0"/>
          <w:sz w:val="30"/>
          <w:szCs w:val="30"/>
          <w:highlight w:val="none"/>
          <w:lang w:eastAsia="zh-CN"/>
        </w:rPr>
        <w:t>（</w:t>
      </w:r>
      <w:r>
        <w:rPr>
          <w:rFonts w:hint="eastAsia" w:ascii="仿宋_GB2312" w:hAnsi="黑体" w:eastAsia="仿宋_GB2312" w:cs="方正小标宋简体"/>
          <w:color w:val="000000"/>
          <w:kern w:val="0"/>
          <w:sz w:val="30"/>
          <w:szCs w:val="30"/>
          <w:highlight w:val="none"/>
        </w:rPr>
        <w:t>国有资产占有使用情况表</w:t>
      </w:r>
      <w:r>
        <w:rPr>
          <w:rFonts w:hint="eastAsia" w:ascii="仿宋_GB2312" w:hAnsi="黑体" w:eastAsia="仿宋_GB2312" w:cs="方正小标宋简体"/>
          <w:color w:val="000000"/>
          <w:kern w:val="0"/>
          <w:sz w:val="30"/>
          <w:szCs w:val="30"/>
          <w:highlight w:val="none"/>
          <w:lang w:eastAsia="zh-CN"/>
        </w:rPr>
        <w:t>详见附表）</w:t>
      </w:r>
    </w:p>
    <w:tbl>
      <w:tblPr>
        <w:tblStyle w:val="5"/>
        <w:tblpPr w:leftFromText="180" w:rightFromText="180" w:topFromText="100" w:bottomFromText="100" w:vertAnchor="text" w:horzAnchor="page" w:tblpX="534" w:tblpY="490"/>
        <w:tblOverlap w:val="never"/>
        <w:tblW w:w="142" w:type="dxa"/>
        <w:tblInd w:w="-15" w:type="dxa"/>
        <w:tblLayout w:type="fixed"/>
        <w:tblCellMar>
          <w:top w:w="0" w:type="dxa"/>
          <w:left w:w="0" w:type="dxa"/>
          <w:bottom w:w="0" w:type="dxa"/>
          <w:right w:w="0" w:type="dxa"/>
        </w:tblCellMar>
      </w:tblPr>
      <w:tblGrid>
        <w:gridCol w:w="142"/>
      </w:tblGrid>
      <w:tr w14:paraId="09CCD237">
        <w:tblPrEx>
          <w:tblCellMar>
            <w:top w:w="0" w:type="dxa"/>
            <w:left w:w="0" w:type="dxa"/>
            <w:bottom w:w="0" w:type="dxa"/>
            <w:right w:w="0" w:type="dxa"/>
          </w:tblCellMar>
        </w:tblPrEx>
        <w:trPr>
          <w:trHeight w:val="495" w:hRule="atLeast"/>
        </w:trPr>
        <w:tc>
          <w:tcPr>
            <w:tcW w:w="142" w:type="dxa"/>
            <w:tcBorders>
              <w:top w:val="nil"/>
              <w:left w:val="nil"/>
              <w:bottom w:val="nil"/>
              <w:right w:val="nil"/>
            </w:tcBorders>
            <w:noWrap w:val="0"/>
            <w:vAlign w:val="center"/>
          </w:tcPr>
          <w:p w14:paraId="18E693B2">
            <w:pPr>
              <w:widowControl/>
              <w:jc w:val="left"/>
              <w:rPr>
                <w:rFonts w:ascii="宋体" w:hAnsi="宋体" w:cs="宋体"/>
                <w:color w:val="000000"/>
                <w:kern w:val="0"/>
                <w:sz w:val="17"/>
                <w:szCs w:val="17"/>
                <w:highlight w:val="none"/>
              </w:rPr>
            </w:pPr>
          </w:p>
        </w:tc>
      </w:tr>
      <w:tr w14:paraId="28E417F8">
        <w:tblPrEx>
          <w:tblCellMar>
            <w:top w:w="0" w:type="dxa"/>
            <w:left w:w="0" w:type="dxa"/>
            <w:bottom w:w="0" w:type="dxa"/>
            <w:right w:w="0" w:type="dxa"/>
          </w:tblCellMar>
        </w:tblPrEx>
        <w:trPr>
          <w:trHeight w:val="347" w:hRule="atLeast"/>
        </w:trPr>
        <w:tc>
          <w:tcPr>
            <w:tcW w:w="142" w:type="dxa"/>
            <w:tcBorders>
              <w:top w:val="nil"/>
              <w:left w:val="nil"/>
              <w:bottom w:val="nil"/>
              <w:right w:val="nil"/>
            </w:tcBorders>
            <w:noWrap w:val="0"/>
            <w:vAlign w:val="center"/>
          </w:tcPr>
          <w:p w14:paraId="69FFA42D">
            <w:pPr>
              <w:widowControl/>
              <w:jc w:val="left"/>
              <w:rPr>
                <w:rFonts w:ascii="宋体" w:hAnsi="宋体" w:cs="宋体"/>
                <w:color w:val="000000"/>
                <w:kern w:val="0"/>
                <w:sz w:val="17"/>
                <w:szCs w:val="17"/>
                <w:highlight w:val="none"/>
              </w:rPr>
            </w:pPr>
          </w:p>
        </w:tc>
      </w:tr>
      <w:tr w14:paraId="2EBA8F90">
        <w:tblPrEx>
          <w:tblCellMar>
            <w:top w:w="0" w:type="dxa"/>
            <w:left w:w="0" w:type="dxa"/>
            <w:bottom w:w="0" w:type="dxa"/>
            <w:right w:w="0" w:type="dxa"/>
          </w:tblCellMar>
        </w:tblPrEx>
        <w:trPr>
          <w:trHeight w:val="415" w:hRule="atLeast"/>
        </w:trPr>
        <w:tc>
          <w:tcPr>
            <w:tcW w:w="142" w:type="dxa"/>
            <w:tcBorders>
              <w:top w:val="nil"/>
              <w:left w:val="nil"/>
              <w:bottom w:val="nil"/>
              <w:right w:val="nil"/>
            </w:tcBorders>
            <w:noWrap w:val="0"/>
            <w:vAlign w:val="center"/>
          </w:tcPr>
          <w:p w14:paraId="1E8338D2">
            <w:pPr>
              <w:widowControl/>
              <w:jc w:val="left"/>
              <w:rPr>
                <w:rFonts w:ascii="宋体" w:hAnsi="宋体" w:cs="宋体"/>
                <w:color w:val="000000"/>
                <w:kern w:val="0"/>
                <w:sz w:val="17"/>
                <w:szCs w:val="17"/>
                <w:highlight w:val="none"/>
              </w:rPr>
            </w:pPr>
          </w:p>
        </w:tc>
      </w:tr>
      <w:tr w14:paraId="59F2835D">
        <w:tblPrEx>
          <w:tblCellMar>
            <w:top w:w="0" w:type="dxa"/>
            <w:left w:w="0" w:type="dxa"/>
            <w:bottom w:w="0" w:type="dxa"/>
            <w:right w:w="0" w:type="dxa"/>
          </w:tblCellMar>
        </w:tblPrEx>
        <w:trPr>
          <w:trHeight w:val="345" w:hRule="atLeast"/>
        </w:trPr>
        <w:tc>
          <w:tcPr>
            <w:tcW w:w="142" w:type="dxa"/>
            <w:tcBorders>
              <w:top w:val="nil"/>
              <w:left w:val="nil"/>
              <w:bottom w:val="nil"/>
              <w:right w:val="nil"/>
            </w:tcBorders>
            <w:noWrap w:val="0"/>
            <w:vAlign w:val="center"/>
          </w:tcPr>
          <w:p w14:paraId="41BFE12C">
            <w:pPr>
              <w:widowControl/>
              <w:jc w:val="left"/>
              <w:rPr>
                <w:rFonts w:ascii="宋体" w:hAnsi="宋体" w:cs="宋体"/>
                <w:color w:val="000000"/>
                <w:kern w:val="0"/>
                <w:sz w:val="17"/>
                <w:szCs w:val="17"/>
                <w:highlight w:val="none"/>
              </w:rPr>
            </w:pPr>
          </w:p>
        </w:tc>
      </w:tr>
      <w:tr w14:paraId="01A3EA13">
        <w:tblPrEx>
          <w:tblCellMar>
            <w:top w:w="0" w:type="dxa"/>
            <w:left w:w="0" w:type="dxa"/>
            <w:bottom w:w="0" w:type="dxa"/>
            <w:right w:w="0" w:type="dxa"/>
          </w:tblCellMar>
        </w:tblPrEx>
        <w:trPr>
          <w:trHeight w:val="395" w:hRule="atLeast"/>
        </w:trPr>
        <w:tc>
          <w:tcPr>
            <w:tcW w:w="142" w:type="dxa"/>
            <w:tcBorders>
              <w:top w:val="nil"/>
              <w:left w:val="nil"/>
              <w:bottom w:val="nil"/>
              <w:right w:val="nil"/>
            </w:tcBorders>
            <w:noWrap w:val="0"/>
            <w:vAlign w:val="center"/>
          </w:tcPr>
          <w:p w14:paraId="668BDE40">
            <w:pPr>
              <w:widowControl/>
              <w:jc w:val="left"/>
              <w:rPr>
                <w:rFonts w:ascii="宋体" w:hAnsi="宋体" w:cs="宋体"/>
                <w:color w:val="000000"/>
                <w:kern w:val="0"/>
                <w:sz w:val="17"/>
                <w:szCs w:val="17"/>
                <w:highlight w:val="none"/>
              </w:rPr>
            </w:pPr>
          </w:p>
        </w:tc>
      </w:tr>
      <w:tr w14:paraId="17290D93">
        <w:tblPrEx>
          <w:tblCellMar>
            <w:top w:w="0" w:type="dxa"/>
            <w:left w:w="0" w:type="dxa"/>
            <w:bottom w:w="0" w:type="dxa"/>
            <w:right w:w="0" w:type="dxa"/>
          </w:tblCellMar>
        </w:tblPrEx>
        <w:trPr>
          <w:trHeight w:val="358" w:hRule="atLeast"/>
        </w:trPr>
        <w:tc>
          <w:tcPr>
            <w:tcW w:w="142" w:type="dxa"/>
            <w:tcBorders>
              <w:top w:val="nil"/>
              <w:left w:val="nil"/>
              <w:bottom w:val="nil"/>
              <w:right w:val="nil"/>
            </w:tcBorders>
            <w:noWrap w:val="0"/>
            <w:vAlign w:val="center"/>
          </w:tcPr>
          <w:p w14:paraId="47BCEA61">
            <w:pPr>
              <w:widowControl/>
              <w:jc w:val="left"/>
              <w:rPr>
                <w:rFonts w:ascii="宋体" w:hAnsi="宋体" w:cs="宋体"/>
                <w:color w:val="000000"/>
                <w:kern w:val="0"/>
                <w:sz w:val="17"/>
                <w:szCs w:val="17"/>
                <w:highlight w:val="none"/>
              </w:rPr>
            </w:pPr>
          </w:p>
        </w:tc>
      </w:tr>
      <w:tr w14:paraId="50775D31">
        <w:tblPrEx>
          <w:tblCellMar>
            <w:top w:w="0" w:type="dxa"/>
            <w:left w:w="0" w:type="dxa"/>
            <w:bottom w:w="0" w:type="dxa"/>
            <w:right w:w="0" w:type="dxa"/>
          </w:tblCellMar>
        </w:tblPrEx>
        <w:trPr>
          <w:trHeight w:val="563" w:hRule="atLeast"/>
        </w:trPr>
        <w:tc>
          <w:tcPr>
            <w:tcW w:w="142" w:type="dxa"/>
            <w:tcBorders>
              <w:top w:val="nil"/>
              <w:left w:val="nil"/>
              <w:bottom w:val="nil"/>
              <w:right w:val="nil"/>
            </w:tcBorders>
            <w:noWrap w:val="0"/>
            <w:vAlign w:val="center"/>
          </w:tcPr>
          <w:p w14:paraId="55BA9B39">
            <w:pPr>
              <w:widowControl/>
              <w:jc w:val="left"/>
              <w:rPr>
                <w:rFonts w:ascii="宋体" w:hAnsi="宋体" w:cs="宋体"/>
                <w:color w:val="000000"/>
                <w:kern w:val="0"/>
                <w:sz w:val="17"/>
                <w:szCs w:val="17"/>
                <w:highlight w:val="none"/>
              </w:rPr>
            </w:pPr>
          </w:p>
        </w:tc>
      </w:tr>
      <w:tr w14:paraId="4292B6FC">
        <w:tblPrEx>
          <w:tblCellMar>
            <w:top w:w="0" w:type="dxa"/>
            <w:left w:w="0" w:type="dxa"/>
            <w:bottom w:w="0" w:type="dxa"/>
            <w:right w:w="0" w:type="dxa"/>
          </w:tblCellMar>
        </w:tblPrEx>
        <w:trPr>
          <w:trHeight w:val="495" w:hRule="atLeast"/>
        </w:trPr>
        <w:tc>
          <w:tcPr>
            <w:tcW w:w="142" w:type="dxa"/>
            <w:noWrap w:val="0"/>
            <w:vAlign w:val="center"/>
          </w:tcPr>
          <w:p w14:paraId="57BEE602">
            <w:pPr>
              <w:widowControl/>
              <w:jc w:val="left"/>
              <w:rPr>
                <w:rFonts w:ascii="Times New Roman" w:hAnsi="Times New Roman" w:eastAsia="Times New Roman"/>
                <w:kern w:val="0"/>
                <w:sz w:val="20"/>
                <w:szCs w:val="20"/>
                <w:highlight w:val="none"/>
              </w:rPr>
            </w:pPr>
          </w:p>
        </w:tc>
      </w:tr>
    </w:tbl>
    <w:p w14:paraId="0FAAF014">
      <w:pPr>
        <w:ind w:firstLine="600" w:firstLineChars="200"/>
        <w:jc w:val="left"/>
        <w:outlineLvl w:val="1"/>
        <w:rPr>
          <w:rFonts w:hint="eastAsia" w:ascii="黑体" w:hAnsi="黑体" w:eastAsia="黑体" w:cs="黑体"/>
          <w:sz w:val="30"/>
          <w:szCs w:val="30"/>
          <w:highlight w:val="none"/>
        </w:rPr>
      </w:pPr>
      <w:r>
        <w:rPr>
          <w:rFonts w:hint="eastAsia" w:ascii="黑体" w:hAnsi="黑体" w:eastAsia="黑体" w:cs="黑体"/>
          <w:sz w:val="30"/>
          <w:szCs w:val="30"/>
          <w:highlight w:val="none"/>
          <w:lang w:eastAsia="zh-CN"/>
        </w:rPr>
        <w:t>三、政</w:t>
      </w:r>
      <w:r>
        <w:rPr>
          <w:rFonts w:hint="eastAsia" w:ascii="黑体" w:hAnsi="黑体" w:eastAsia="黑体" w:cs="黑体"/>
          <w:sz w:val="30"/>
          <w:szCs w:val="30"/>
          <w:highlight w:val="none"/>
        </w:rPr>
        <w:t>府采购支出情况</w:t>
      </w:r>
    </w:p>
    <w:p w14:paraId="24909A00">
      <w:pPr>
        <w:ind w:firstLine="600" w:firstLineChars="200"/>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2025年度，单位政府采购支出总额</w:t>
      </w:r>
      <w:r>
        <w:rPr>
          <w:rFonts w:hint="eastAsia" w:ascii="仿宋_GB2312" w:hAnsi="仿宋_GB2312" w:eastAsia="仿宋_GB2312" w:cs="仿宋_GB2312"/>
          <w:color w:val="auto"/>
          <w:sz w:val="30"/>
          <w:lang w:val="zh-CN"/>
        </w:rPr>
        <w:t>7,597.13</w:t>
      </w:r>
      <w:r>
        <w:rPr>
          <w:rFonts w:hint="eastAsia" w:ascii="仿宋_GB2312" w:hAnsi="仿宋_GB2312" w:eastAsia="仿宋_GB2312" w:cs="仿宋_GB2312"/>
          <w:sz w:val="30"/>
          <w:szCs w:val="30"/>
          <w:highlight w:val="none"/>
          <w:lang w:val="en-US" w:eastAsia="zh-CN"/>
        </w:rPr>
        <w:t>元，其中：政府采购货物支出</w:t>
      </w:r>
      <w:r>
        <w:rPr>
          <w:rFonts w:hint="eastAsia" w:ascii="仿宋_GB2312" w:hAnsi="仿宋_GB2312" w:eastAsia="仿宋_GB2312" w:cs="仿宋_GB2312"/>
          <w:color w:val="auto"/>
          <w:sz w:val="30"/>
          <w:lang w:val="zh-CN"/>
        </w:rPr>
        <w:t>5,000.00</w:t>
      </w:r>
      <w:r>
        <w:rPr>
          <w:rFonts w:hint="eastAsia" w:ascii="仿宋_GB2312" w:hAnsi="仿宋_GB2312" w:eastAsia="仿宋_GB2312" w:cs="仿宋_GB2312"/>
          <w:sz w:val="30"/>
          <w:szCs w:val="30"/>
          <w:highlight w:val="none"/>
          <w:lang w:val="en-US" w:eastAsia="zh-CN"/>
        </w:rPr>
        <w:t>元；政府采购工程支出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元；政府采购服务支出</w:t>
      </w:r>
      <w:r>
        <w:rPr>
          <w:rFonts w:hint="eastAsia" w:ascii="仿宋_GB2312" w:hAnsi="仿宋_GB2312" w:eastAsia="仿宋_GB2312" w:cs="仿宋_GB2312"/>
          <w:color w:val="auto"/>
          <w:sz w:val="30"/>
          <w:lang w:val="zh-CN"/>
        </w:rPr>
        <w:t>2,597.13</w:t>
      </w:r>
      <w:r>
        <w:rPr>
          <w:rFonts w:hint="eastAsia" w:ascii="仿宋_GB2312" w:hAnsi="仿宋_GB2312" w:eastAsia="仿宋_GB2312" w:cs="仿宋_GB2312"/>
          <w:sz w:val="30"/>
          <w:szCs w:val="30"/>
          <w:highlight w:val="none"/>
          <w:lang w:val="en-US" w:eastAsia="zh-CN"/>
        </w:rPr>
        <w:t>元。授予中小企业合同金额</w:t>
      </w:r>
      <w:r>
        <w:rPr>
          <w:rFonts w:hint="eastAsia" w:ascii="仿宋_GB2312" w:hAnsi="仿宋_GB2312" w:eastAsia="仿宋_GB2312" w:cs="仿宋_GB2312"/>
          <w:color w:val="auto"/>
          <w:sz w:val="30"/>
          <w:lang w:val="zh-CN"/>
        </w:rPr>
        <w:t>836.00</w:t>
      </w:r>
      <w:r>
        <w:rPr>
          <w:rFonts w:hint="eastAsia" w:ascii="仿宋_GB2312" w:hAnsi="仿宋_GB2312" w:eastAsia="仿宋_GB2312" w:cs="仿宋_GB2312"/>
          <w:sz w:val="30"/>
          <w:szCs w:val="30"/>
          <w:highlight w:val="none"/>
          <w:lang w:val="en-US" w:eastAsia="zh-CN"/>
        </w:rPr>
        <w:t>元，其中：授予小微企业合同金额</w:t>
      </w:r>
      <w:r>
        <w:rPr>
          <w:rFonts w:hint="eastAsia" w:ascii="仿宋_GB2312" w:hAnsi="仿宋_GB2312" w:eastAsia="仿宋_GB2312" w:cs="仿宋_GB2312"/>
          <w:color w:val="auto"/>
          <w:sz w:val="30"/>
          <w:lang w:val="zh-CN"/>
        </w:rPr>
        <w:t>836.00</w:t>
      </w:r>
      <w:r>
        <w:rPr>
          <w:rFonts w:hint="eastAsia" w:ascii="仿宋_GB2312" w:hAnsi="仿宋_GB2312" w:eastAsia="仿宋_GB2312" w:cs="仿宋_GB2312"/>
          <w:sz w:val="30"/>
          <w:szCs w:val="30"/>
          <w:highlight w:val="none"/>
          <w:lang w:val="en-US" w:eastAsia="zh-CN"/>
        </w:rPr>
        <w:t>元。</w:t>
      </w:r>
    </w:p>
    <w:p w14:paraId="6886E91F">
      <w:pPr>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四、单位绩效自评情况</w:t>
      </w:r>
    </w:p>
    <w:p w14:paraId="74765143">
      <w:pPr>
        <w:ind w:firstLine="600" w:firstLineChars="200"/>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本单位为所属单位，部门整体支出绩效由上级部门统一汇总公开，项目支出绩效自评情况详见附表GK15-1～GK15-10。</w:t>
      </w:r>
    </w:p>
    <w:p w14:paraId="154BDB05">
      <w:pPr>
        <w:widowControl/>
        <w:snapToGrid w:val="0"/>
        <w:spacing w:before="100" w:after="100" w:line="360" w:lineRule="auto"/>
        <w:ind w:firstLine="640" w:firstLineChars="200"/>
        <w:jc w:val="left"/>
        <w:outlineLvl w:val="1"/>
        <w:rPr>
          <w:rFonts w:ascii="Times New Roman" w:hAnsi="Times New Roman" w:eastAsia="宋体" w:cs="宋体"/>
        </w:rPr>
      </w:pPr>
      <w:r>
        <w:rPr>
          <w:rFonts w:ascii="Times New Roman" w:hAnsi="Times New Roman" w:eastAsia="楷体_GB2312" w:cs="楷体_GB2312"/>
          <w:sz w:val="32"/>
          <w:szCs w:val="32"/>
        </w:rPr>
        <w:t>（一）预算绩效管理工作开展情况</w:t>
      </w:r>
    </w:p>
    <w:p w14:paraId="3BA31ED2">
      <w:pPr>
        <w:ind w:firstLine="600" w:firstLineChars="200"/>
        <w:rPr>
          <w:rFonts w:hint="eastAsia" w:ascii="Times New Roman" w:hAnsi="Times New Roman" w:eastAsia="仿宋" w:cs="仿宋"/>
          <w:sz w:val="30"/>
          <w:szCs w:val="30"/>
        </w:rPr>
      </w:pPr>
      <w:r>
        <w:rPr>
          <w:rFonts w:hint="eastAsia" w:ascii="仿宋_GB2312" w:hAnsi="仿宋_GB2312" w:eastAsia="仿宋_GB2312" w:cs="仿宋_GB2312"/>
          <w:sz w:val="30"/>
          <w:szCs w:val="30"/>
          <w:highlight w:val="none"/>
          <w:lang w:val="en-US" w:eastAsia="zh-CN"/>
        </w:rPr>
        <w:t>按照本单位工作计划安排，拟定组织实施方案、评价指标体系等具体工作细则，并以此为基础，组织包括主要领导、分管领导、办公室主任、财务人员组成自评小组开展自评工作。确定部门整体支出和项目支出绩效自评指标体系。</w:t>
      </w:r>
    </w:p>
    <w:p w14:paraId="2B178D6C">
      <w:pPr>
        <w:pStyle w:val="9"/>
        <w:keepNext/>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textAlignment w:val="auto"/>
        <w:outlineLvl w:val="9"/>
        <w:rPr>
          <w:rFonts w:ascii="Times New Roman" w:hAnsi="Times New Roman" w:eastAsia="楷体_GB2312" w:cs="楷体_GB2312"/>
          <w:sz w:val="32"/>
          <w:szCs w:val="32"/>
        </w:rPr>
      </w:pPr>
      <w:r>
        <w:rPr>
          <w:rFonts w:ascii="Times New Roman" w:hAnsi="Times New Roman" w:eastAsia="楷体_GB2312" w:cs="楷体_GB2312"/>
          <w:sz w:val="32"/>
          <w:szCs w:val="32"/>
        </w:rPr>
        <w:t>（二）部门整体支岀自评结果</w:t>
      </w:r>
    </w:p>
    <w:p w14:paraId="24C131CF">
      <w:pPr>
        <w:ind w:firstLine="600" w:firstLineChars="200"/>
        <w:jc w:val="both"/>
        <w:rPr>
          <w:rFonts w:hint="eastAsia" w:ascii="仿宋_GB2312" w:hAnsi="仿宋_GB2312" w:eastAsia="仿宋_GB2312" w:cs="仿宋_GB2312"/>
          <w:sz w:val="30"/>
          <w:szCs w:val="30"/>
          <w:highlight w:val="none"/>
          <w:lang w:val="zh-CN" w:eastAsia="zh-CN"/>
        </w:rPr>
      </w:pPr>
      <w:r>
        <w:rPr>
          <w:rFonts w:hint="eastAsia" w:ascii="仿宋_GB2312" w:hAnsi="仿宋_GB2312" w:eastAsia="仿宋_GB2312" w:cs="仿宋_GB2312"/>
          <w:sz w:val="30"/>
          <w:szCs w:val="30"/>
          <w:highlight w:val="none"/>
          <w:lang w:val="zh-CN" w:eastAsia="zh-CN"/>
        </w:rPr>
        <w:t>202</w:t>
      </w:r>
      <w:r>
        <w:rPr>
          <w:rFonts w:hint="eastAsia" w:ascii="仿宋_GB2312" w:hAnsi="仿宋_GB2312" w:eastAsia="仿宋_GB2312" w:cs="仿宋_GB2312"/>
          <w:sz w:val="30"/>
          <w:szCs w:val="30"/>
          <w:highlight w:val="none"/>
          <w:lang w:val="en-US" w:eastAsia="zh-CN"/>
        </w:rPr>
        <w:t>5</w:t>
      </w:r>
      <w:r>
        <w:rPr>
          <w:rFonts w:hint="eastAsia" w:ascii="仿宋_GB2312" w:hAnsi="仿宋_GB2312" w:eastAsia="仿宋_GB2312" w:cs="仿宋_GB2312"/>
          <w:sz w:val="30"/>
          <w:szCs w:val="30"/>
          <w:highlight w:val="none"/>
          <w:lang w:val="zh-CN" w:eastAsia="zh-CN"/>
        </w:rPr>
        <w:t>年，单位严格执行各项财经法规，积极开拓，较好地完成了部门职能职责，支出的效果总体是好的。存在的问题是项目资金财政不能及时拨付，导致拖欠相关方款项，给单位资金周转带来一定的压力。下一步单位在项目实施过程中将进一步控制好项目成本，积极同财政部门协调资金，更圆满地完成项目目标。</w:t>
      </w:r>
    </w:p>
    <w:p w14:paraId="536A60D7">
      <w:pPr>
        <w:keepNext w:val="0"/>
        <w:keepLines w:val="0"/>
        <w:pageBreakBefore w:val="0"/>
        <w:widowControl/>
        <w:kinsoku/>
        <w:wordWrap/>
        <w:overflowPunct/>
        <w:topLinePunct w:val="0"/>
        <w:autoSpaceDE/>
        <w:autoSpaceDN/>
        <w:bidi w:val="0"/>
        <w:adjustRightInd/>
        <w:snapToGrid/>
        <w:spacing w:before="100" w:beforeLines="0" w:after="100" w:afterLines="0" w:line="360" w:lineRule="auto"/>
        <w:ind w:firstLine="600"/>
        <w:jc w:val="left"/>
        <w:textAlignment w:val="auto"/>
        <w:rPr>
          <w:rFonts w:hint="eastAsia" w:ascii="楷体_GB2312" w:hAnsi="楷体_GB2312" w:eastAsia="楷体_GB2312" w:cs="楷体_GB2312"/>
          <w:kern w:val="0"/>
          <w:sz w:val="30"/>
          <w:szCs w:val="30"/>
          <w:highlight w:val="none"/>
          <w:lang w:val="zh-CN" w:eastAsia="zh-CN"/>
        </w:rPr>
      </w:pPr>
      <w:r>
        <w:rPr>
          <w:rFonts w:hint="eastAsia" w:ascii="楷体_GB2312" w:hAnsi="楷体_GB2312" w:eastAsia="楷体_GB2312" w:cs="楷体_GB2312"/>
          <w:kern w:val="0"/>
          <w:sz w:val="30"/>
          <w:szCs w:val="30"/>
          <w:highlight w:val="none"/>
          <w:lang w:val="zh-CN" w:eastAsia="zh-CN"/>
        </w:rPr>
        <w:t>（三）部门决算中项目支出自评结果</w:t>
      </w:r>
    </w:p>
    <w:p w14:paraId="5F338333">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both"/>
        <w:textAlignment w:val="auto"/>
        <w:rPr>
          <w:rFonts w:hint="default"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2025年</w:t>
      </w:r>
      <w:r>
        <w:rPr>
          <w:rFonts w:hint="eastAsia" w:ascii="仿宋_GB2312" w:hAnsi="仿宋_GB2312" w:eastAsia="仿宋_GB2312" w:cs="仿宋_GB2312"/>
          <w:sz w:val="30"/>
          <w:szCs w:val="30"/>
          <w:highlight w:val="none"/>
          <w:lang w:val="zh-CN" w:eastAsia="zh-CN"/>
        </w:rPr>
        <w:t>决算中项目支出作过绩效自评的有</w:t>
      </w:r>
      <w:r>
        <w:rPr>
          <w:rFonts w:hint="eastAsia" w:ascii="仿宋_GB2312" w:hAnsi="仿宋_GB2312" w:eastAsia="仿宋_GB2312" w:cs="仿宋_GB2312"/>
          <w:sz w:val="30"/>
          <w:szCs w:val="30"/>
          <w:highlight w:val="none"/>
          <w:lang w:val="en-US" w:eastAsia="zh-CN"/>
        </w:rPr>
        <w:t>10</w:t>
      </w:r>
      <w:r>
        <w:rPr>
          <w:rFonts w:hint="eastAsia" w:ascii="仿宋_GB2312" w:hAnsi="仿宋_GB2312" w:eastAsia="仿宋_GB2312" w:cs="仿宋_GB2312"/>
          <w:sz w:val="30"/>
          <w:szCs w:val="30"/>
          <w:highlight w:val="none"/>
          <w:lang w:val="zh-CN" w:eastAsia="zh-CN"/>
        </w:rPr>
        <w:t>个项目，评价结果均为“优”。其中</w:t>
      </w:r>
      <w:r>
        <w:rPr>
          <w:rFonts w:hint="eastAsia" w:ascii="仿宋_GB2312" w:hAnsi="仿宋_GB2312" w:eastAsia="仿宋_GB2312" w:cs="仿宋_GB2312"/>
          <w:sz w:val="30"/>
          <w:szCs w:val="30"/>
          <w:highlight w:val="none"/>
          <w:lang w:val="en-US" w:eastAsia="zh-CN"/>
        </w:rPr>
        <w:t>:2024年农村厕所革命资金项目4个，共支付资金4,370,000.00元，建成户厕2,559个，公厕28座，有效地改善了我县农村地区的人居环境；2025年农村厕所革命省级补助资金项目1个，金额720,000.00元，完成自然村卫生公厕改造8座；2025年5个行政村污水收集治理工程项目1个，工程合同总价款843,459.63元，2025年支付了300,000.00元。该项目已完成前期准备工作及部分工程。</w:t>
      </w:r>
    </w:p>
    <w:p w14:paraId="75497993">
      <w:pPr>
        <w:keepNext w:val="0"/>
        <w:keepLines w:val="0"/>
        <w:pageBreakBefore w:val="0"/>
        <w:widowControl/>
        <w:kinsoku/>
        <w:wordWrap/>
        <w:overflowPunct/>
        <w:topLinePunct w:val="0"/>
        <w:autoSpaceDE/>
        <w:autoSpaceDN/>
        <w:bidi w:val="0"/>
        <w:adjustRightInd/>
        <w:snapToGrid/>
        <w:spacing w:before="100" w:beforeLines="0" w:after="100" w:afterLines="0" w:line="360" w:lineRule="auto"/>
        <w:ind w:firstLine="600"/>
        <w:jc w:val="left"/>
        <w:textAlignment w:val="auto"/>
        <w:rPr>
          <w:rFonts w:hint="eastAsia" w:ascii="Times New Roman" w:hAnsi="Times New Roman" w:eastAsia="仿宋" w:cs="Times New Roman"/>
          <w:color w:val="auto"/>
          <w:sz w:val="30"/>
          <w:lang w:val="zh-CN"/>
        </w:rPr>
      </w:pPr>
      <w:r>
        <w:rPr>
          <w:rFonts w:hint="eastAsia" w:ascii="楷体_GB2312" w:hAnsi="楷体_GB2312" w:eastAsia="楷体_GB2312" w:cs="楷体_GB2312"/>
          <w:kern w:val="0"/>
          <w:sz w:val="30"/>
          <w:szCs w:val="30"/>
          <w:highlight w:val="none"/>
          <w:lang w:val="zh-CN" w:eastAsia="zh-CN"/>
        </w:rPr>
        <w:t>（四）部门项目支出绩效评价情况</w:t>
      </w:r>
    </w:p>
    <w:p w14:paraId="4D462396">
      <w:pPr>
        <w:ind w:firstLine="600" w:firstLineChars="200"/>
        <w:rPr>
          <w:rFonts w:hint="eastAsia" w:ascii="仿宋_GB2312" w:hAnsi="仿宋_GB2312" w:eastAsia="仿宋_GB2312" w:cs="仿宋_GB2312"/>
          <w:sz w:val="30"/>
          <w:szCs w:val="30"/>
          <w:highlight w:val="none"/>
          <w:lang w:val="zh-CN" w:eastAsia="zh-CN"/>
        </w:rPr>
      </w:pPr>
      <w:r>
        <w:rPr>
          <w:rFonts w:hint="eastAsia" w:ascii="仿宋_GB2312" w:hAnsi="仿宋_GB2312" w:eastAsia="仿宋_GB2312" w:cs="仿宋_GB2312"/>
          <w:sz w:val="30"/>
          <w:szCs w:val="30"/>
          <w:highlight w:val="none"/>
          <w:lang w:val="zh-CN" w:eastAsia="zh-CN"/>
        </w:rPr>
        <w:t>单位成立了项目绩效评价工作小组，围绕各项目的目标任务，科学设定评价指标，认真组织评价。经评估，纳入评价的</w:t>
      </w:r>
      <w:r>
        <w:rPr>
          <w:rFonts w:hint="eastAsia" w:ascii="仿宋_GB2312" w:hAnsi="仿宋_GB2312" w:eastAsia="仿宋_GB2312" w:cs="仿宋_GB2312"/>
          <w:sz w:val="30"/>
          <w:szCs w:val="30"/>
          <w:highlight w:val="none"/>
          <w:lang w:val="en-US" w:eastAsia="zh-CN"/>
        </w:rPr>
        <w:t>5</w:t>
      </w:r>
      <w:r>
        <w:rPr>
          <w:rFonts w:hint="eastAsia" w:ascii="仿宋_GB2312" w:hAnsi="仿宋_GB2312" w:eastAsia="仿宋_GB2312" w:cs="仿宋_GB2312"/>
          <w:sz w:val="30"/>
          <w:szCs w:val="30"/>
          <w:highlight w:val="none"/>
          <w:lang w:val="zh-CN" w:eastAsia="zh-CN"/>
        </w:rPr>
        <w:t>个项目均为“优”级等次。</w:t>
      </w:r>
    </w:p>
    <w:p w14:paraId="7FE8AA88">
      <w:pPr>
        <w:widowControl/>
        <w:snapToGrid w:val="0"/>
        <w:spacing w:before="100" w:after="100" w:line="360" w:lineRule="auto"/>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五、其他重要事项情况说明</w:t>
      </w:r>
    </w:p>
    <w:p w14:paraId="2EC4D5E0">
      <w:pPr>
        <w:widowControl/>
        <w:snapToGrid w:val="0"/>
        <w:spacing w:before="100" w:after="100" w:line="360" w:lineRule="auto"/>
        <w:ind w:firstLine="600" w:firstLineChars="200"/>
        <w:jc w:val="left"/>
        <w:outlineLvl w:val="1"/>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无</w:t>
      </w:r>
    </w:p>
    <w:p w14:paraId="3AA9C7C7">
      <w:pPr>
        <w:widowControl/>
        <w:snapToGrid w:val="0"/>
        <w:spacing w:before="100" w:after="100" w:line="360" w:lineRule="auto"/>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六、相关口径说明</w:t>
      </w:r>
    </w:p>
    <w:p w14:paraId="3E296628">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（一）</w:t>
      </w:r>
      <w:r>
        <w:rPr>
          <w:rFonts w:hint="eastAsia" w:ascii="仿宋_GB2312" w:hAnsi="黑体" w:eastAsia="仿宋_GB2312" w:cs="方正小标宋简体"/>
          <w:sz w:val="30"/>
          <w:szCs w:val="30"/>
          <w:highlight w:val="none"/>
        </w:rPr>
        <w:t>基本支出中人员经费包括工资福利支出和对个人和家庭的补助，公用</w:t>
      </w:r>
      <w:r>
        <w:rPr>
          <w:rFonts w:hint="eastAsia" w:ascii="仿宋_GB2312" w:hAnsi="黑体" w:eastAsia="仿宋_GB2312" w:cs="方正小标宋简体"/>
          <w:sz w:val="30"/>
          <w:szCs w:val="30"/>
          <w:highlight w:val="none"/>
          <w:lang w:eastAsia="zh-CN"/>
        </w:rPr>
        <w:t>经费</w:t>
      </w:r>
      <w:r>
        <w:rPr>
          <w:rFonts w:hint="eastAsia" w:ascii="仿宋_GB2312" w:hAnsi="黑体" w:eastAsia="仿宋_GB2312" w:cs="方正小标宋简体"/>
          <w:sz w:val="30"/>
          <w:szCs w:val="30"/>
          <w:highlight w:val="none"/>
        </w:rPr>
        <w:t>包括商品和服务支出、资本性支出等人员经费以外的支出。</w:t>
      </w:r>
    </w:p>
    <w:p w14:paraId="7E47FA3E">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（二）</w:t>
      </w:r>
      <w:r>
        <w:rPr>
          <w:rFonts w:hint="eastAsia" w:ascii="仿宋_GB2312" w:hAnsi="黑体" w:eastAsia="仿宋_GB2312" w:cs="方正小标宋简体"/>
          <w:sz w:val="30"/>
          <w:szCs w:val="30"/>
          <w:highlight w:val="none"/>
        </w:rPr>
        <w:t>机关运行经费指行政单位和参照公务员法管理的事业单位使用一般公共预算财政拨款安排的基本支出中的公用经费支出</w:t>
      </w:r>
      <w:r>
        <w:rPr>
          <w:rFonts w:hint="eastAsia" w:ascii="仿宋_GB2312" w:hAnsi="黑体" w:eastAsia="仿宋_GB2312" w:cs="方正小标宋简体"/>
          <w:sz w:val="30"/>
          <w:szCs w:val="30"/>
          <w:highlight w:val="none"/>
          <w:lang w:eastAsia="zh-CN"/>
        </w:rPr>
        <w:t>。</w:t>
      </w:r>
    </w:p>
    <w:p w14:paraId="4A825D4D">
      <w:pPr>
        <w:ind w:firstLine="600" w:firstLineChars="200"/>
        <w:jc w:val="left"/>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（三）</w:t>
      </w:r>
      <w:r>
        <w:rPr>
          <w:rFonts w:hint="eastAsia" w:ascii="仿宋_GB2312" w:hAnsi="黑体" w:eastAsia="仿宋_GB2312" w:cs="方正小标宋简体"/>
          <w:sz w:val="30"/>
          <w:szCs w:val="30"/>
          <w:highlight w:val="none"/>
        </w:rPr>
        <w:t>按照党中央、国务院有关文件及部门预算管理有关规定，“三公”经费包括因公出国（境）费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、公务用车购置及运行维护费、公务接待费。其中：因公出国（境）费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，指单位公务出国（境）的国际旅费、国外城市间交通费、住宿费、伙食费、培训费、公杂费等支出；公务用车购置费，指公务用车购置支出（含车辆购置税</w:t>
      </w:r>
      <w:r>
        <w:rPr>
          <w:rFonts w:hint="eastAsia" w:ascii="仿宋_GB2312" w:hAnsi="黑体" w:eastAsia="仿宋_GB2312" w:cs="方正小标宋简体"/>
          <w:sz w:val="30"/>
          <w:szCs w:val="30"/>
          <w:highlight w:val="none"/>
          <w:lang w:eastAsia="zh-CN"/>
        </w:rPr>
        <w:t>、牌照费</w:t>
      </w:r>
      <w:r>
        <w:rPr>
          <w:rFonts w:hint="eastAsia" w:ascii="仿宋_GB2312" w:hAnsi="黑体" w:eastAsia="仿宋_GB2312" w:cs="方正小标宋简体"/>
          <w:sz w:val="30"/>
          <w:szCs w:val="30"/>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r>
        <w:rPr>
          <w:rFonts w:hint="eastAsia" w:ascii="仿宋_GB2312" w:hAnsi="黑体" w:eastAsia="仿宋_GB2312" w:cs="方正小标宋简体"/>
          <w:sz w:val="30"/>
          <w:szCs w:val="30"/>
          <w:highlight w:val="none"/>
          <w:lang w:eastAsia="zh-CN"/>
        </w:rPr>
        <w:t>本文中公开的财政拨款“三公”经费相关数据是一般公共预算、政府性基金及国有资本经营预算财政拨款支出的相关经费，不含非财政拨款部分。</w:t>
      </w:r>
    </w:p>
    <w:p w14:paraId="23EA360B">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（四）本文所称财政拨款</w:t>
      </w:r>
      <w:r>
        <w:rPr>
          <w:rFonts w:hint="eastAsia" w:ascii="仿宋_GB2312" w:hAnsi="黑体" w:eastAsia="仿宋_GB2312" w:cs="方正小标宋简体"/>
          <w:sz w:val="30"/>
          <w:szCs w:val="30"/>
          <w:highlight w:val="none"/>
        </w:rPr>
        <w:t>“三公”经费决算数</w:t>
      </w:r>
      <w:r>
        <w:rPr>
          <w:rFonts w:hint="eastAsia" w:ascii="仿宋_GB2312" w:hAnsi="黑体" w:eastAsia="仿宋_GB2312" w:cs="方正小标宋简体"/>
          <w:sz w:val="30"/>
          <w:szCs w:val="30"/>
          <w:highlight w:val="none"/>
          <w:lang w:eastAsia="zh-CN"/>
        </w:rPr>
        <w:t>是</w:t>
      </w:r>
      <w:r>
        <w:rPr>
          <w:rFonts w:hint="eastAsia" w:ascii="仿宋_GB2312" w:hAnsi="黑体" w:eastAsia="仿宋_GB2312" w:cs="方正小标宋简体"/>
          <w:sz w:val="30"/>
          <w:szCs w:val="30"/>
          <w:highlight w:val="none"/>
        </w:rPr>
        <w:t>指各部门（含下属单位）</w:t>
      </w:r>
      <w:r>
        <w:rPr>
          <w:rFonts w:hint="eastAsia" w:ascii="仿宋_GB2312" w:hAnsi="黑体" w:eastAsia="仿宋_GB2312" w:cs="方正小标宋简体"/>
          <w:sz w:val="30"/>
          <w:szCs w:val="30"/>
          <w:highlight w:val="none"/>
          <w:lang w:eastAsia="zh-CN"/>
        </w:rPr>
        <w:t>或单位</w:t>
      </w:r>
      <w:r>
        <w:rPr>
          <w:rFonts w:hint="eastAsia" w:ascii="仿宋_GB2312" w:hAnsi="黑体" w:eastAsia="仿宋_GB2312" w:cs="方正小标宋简体"/>
          <w:sz w:val="30"/>
          <w:szCs w:val="30"/>
          <w:highlight w:val="none"/>
        </w:rPr>
        <w:t>当年通过本级财政拨款和以前年度财政拨款结转结余资金安排的因公出国（境）费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、公务用车购置及运行维护费和公务接待费支出数（包括基本支出和项目支出）。</w:t>
      </w:r>
    </w:p>
    <w:p w14:paraId="63BD7959">
      <w:pPr>
        <w:jc w:val="center"/>
        <w:outlineLvl w:val="0"/>
        <w:rPr>
          <w:rFonts w:hint="eastAsia" w:ascii="黑体" w:hAnsi="黑体" w:eastAsia="黑体" w:cs="方正小标宋简体"/>
          <w:sz w:val="32"/>
          <w:szCs w:val="32"/>
          <w:highlight w:val="none"/>
        </w:rPr>
      </w:pPr>
      <w:r>
        <w:rPr>
          <w:rFonts w:hint="eastAsia" w:ascii="黑体" w:hAnsi="黑体" w:eastAsia="黑体" w:cs="方正小标宋简体"/>
          <w:sz w:val="32"/>
          <w:szCs w:val="32"/>
          <w:highlight w:val="none"/>
        </w:rPr>
        <w:t>第</w:t>
      </w:r>
      <w:r>
        <w:rPr>
          <w:rFonts w:hint="eastAsia" w:ascii="黑体" w:hAnsi="黑体" w:eastAsia="黑体" w:cs="方正小标宋简体"/>
          <w:sz w:val="32"/>
          <w:szCs w:val="32"/>
          <w:highlight w:val="none"/>
          <w:lang w:eastAsia="zh-CN"/>
        </w:rPr>
        <w:t>五</w:t>
      </w:r>
      <w:r>
        <w:rPr>
          <w:rFonts w:hint="eastAsia" w:ascii="黑体" w:hAnsi="黑体" w:eastAsia="黑体" w:cs="方正小标宋简体"/>
          <w:sz w:val="32"/>
          <w:szCs w:val="32"/>
          <w:highlight w:val="none"/>
        </w:rPr>
        <w:t>部分  名词解释</w:t>
      </w:r>
    </w:p>
    <w:p w14:paraId="7B9E4215">
      <w:pPr>
        <w:ind w:firstLine="600" w:firstLineChars="200"/>
        <w:jc w:val="both"/>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部门决算：各部门依据国家有关法律法规规定及其履行职能情况编制，反映部门和单位所有预算收支和结余执行结果及绩效等情况的综合性年度报告，是改进部门预算执行以及编制后续年度部门预算的参考和依据。</w:t>
      </w:r>
    </w:p>
    <w:p w14:paraId="6C24E9CD">
      <w:pPr>
        <w:ind w:firstLine="600" w:firstLineChars="200"/>
        <w:jc w:val="both"/>
        <w:rPr>
          <w:rFonts w:ascii="Times New Roman" w:hAnsi="Times New Roman"/>
        </w:rPr>
      </w:pPr>
      <w:r>
        <w:rPr>
          <w:rFonts w:hint="eastAsia" w:ascii="仿宋_GB2312" w:hAnsi="黑体" w:eastAsia="仿宋_GB2312" w:cs="方正小标宋简体"/>
          <w:sz w:val="30"/>
          <w:szCs w:val="30"/>
          <w:highlight w:val="none"/>
          <w:lang w:eastAsia="zh-CN"/>
        </w:rPr>
        <w:t>政府采购：是指各级国家机关、事业单位和团体组织，使用财政性资金采购依法制定的集中采购目录以内的或者采购限额标准以上的货物、工程和服务的行为。</w:t>
      </w:r>
    </w:p>
    <w:p w14:paraId="6E90661F">
      <w:pPr>
        <w:ind w:firstLine="600" w:firstLineChars="200"/>
        <w:jc w:val="both"/>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三公”经费：“三公”经费预算数是指各部门从年初预算安排用于因公出国（境）费用、公务用车购置及运行维护费、公务接待费用的预算数。其中，因公出国（境）费，指单位工作人员公务出国（境）的住宿费、差旅费、伙食补助费、杂费、培训费等支出；公务用车购置及运行维护费，指单位公务用车购置费及租用费、燃料费、维修费、过路过桥费、保险费等支出；公务接待费，指单位按规定开支的各类公务接待支出。</w:t>
      </w:r>
    </w:p>
    <w:p w14:paraId="61363130">
      <w:pPr>
        <w:ind w:firstLine="600" w:firstLineChars="200"/>
        <w:jc w:val="left"/>
        <w:rPr>
          <w:rFonts w:hint="eastAsia" w:ascii="仿宋_GB2312" w:hAnsi="黑体" w:eastAsia="仿宋_GB2312" w:cs="方正小标宋简体"/>
          <w:sz w:val="30"/>
          <w:szCs w:val="30"/>
          <w:highlight w:val="none"/>
        </w:rPr>
      </w:pPr>
    </w:p>
    <w:p w14:paraId="0B842677">
      <w:pPr>
        <w:rPr>
          <w:highlight w:val="none"/>
        </w:rPr>
      </w:pP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97AAD6">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4BA4B74F">
                          <w:pPr>
                            <w:pStyle w:val="3"/>
                            <w:rPr>
                              <w:rStyle w:val="8"/>
                            </w:rPr>
                          </w:pPr>
                          <w:r>
                            <w:rPr>
                              <w:rStyle w:val="8"/>
                              <w:sz w:val="28"/>
                              <w:szCs w:val="28"/>
                            </w:rPr>
                            <w:fldChar w:fldCharType="begin"/>
                          </w:r>
                          <w:r>
                            <w:rPr>
                              <w:rStyle w:val="8"/>
                              <w:sz w:val="28"/>
                              <w:szCs w:val="28"/>
                            </w:rPr>
                            <w:instrText xml:space="preserve">PAGE  </w:instrText>
                          </w:r>
                          <w:r>
                            <w:rPr>
                              <w:sz w:val="28"/>
                              <w:szCs w:val="28"/>
                            </w:rPr>
                            <w:fldChar w:fldCharType="separate"/>
                          </w:r>
                          <w:r>
                            <w:rPr>
                              <w:rStyle w:val="8"/>
                              <w:sz w:val="28"/>
                              <w:szCs w:val="28"/>
                            </w:rPr>
                            <w:t>8</w:t>
                          </w:r>
                          <w:r>
                            <w:rPr>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aGmCS9MAAAAFAQAADwAAAAAAAAABACAAAAAiAAAAZHJzL2Rvd25y&#10;ZXYueG1sUEsBAhQAFAAAAAgAh07iQFq6k8jKAQAAlwMAAA4AAAAAAAAAAQAgAAAAIgEAAGRycy9l&#10;Mm9Eb2MueG1sUEsFBgAAAAAGAAYAWQEAAF4FAAAAAA==&#10;">
              <v:fill on="f" focussize="0,0"/>
              <v:stroke on="f" weight="1.25pt"/>
              <v:imagedata o:title=""/>
              <o:lock v:ext="edit" aspectratio="f"/>
              <v:textbox inset="0mm,0mm,0mm,0mm" style="mso-fit-shape-to-text:t;">
                <w:txbxContent>
                  <w:p w14:paraId="4BA4B74F">
                    <w:pPr>
                      <w:pStyle w:val="3"/>
                      <w:rPr>
                        <w:rStyle w:val="8"/>
                      </w:rPr>
                    </w:pPr>
                    <w:r>
                      <w:rPr>
                        <w:rStyle w:val="8"/>
                        <w:sz w:val="28"/>
                        <w:szCs w:val="28"/>
                      </w:rPr>
                      <w:fldChar w:fldCharType="begin"/>
                    </w:r>
                    <w:r>
                      <w:rPr>
                        <w:rStyle w:val="8"/>
                        <w:sz w:val="28"/>
                        <w:szCs w:val="28"/>
                      </w:rPr>
                      <w:instrText xml:space="preserve">PAGE  </w:instrText>
                    </w:r>
                    <w:r>
                      <w:rPr>
                        <w:sz w:val="28"/>
                        <w:szCs w:val="28"/>
                      </w:rPr>
                      <w:fldChar w:fldCharType="separate"/>
                    </w:r>
                    <w:r>
                      <w:rPr>
                        <w:rStyle w:val="8"/>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4B0E66">
    <w:pPr>
      <w:pStyle w:val="3"/>
      <w:framePr w:wrap="around" w:vAnchor="text" w:hAnchor="margin" w:xAlign="center" w:y="1"/>
      <w:rPr>
        <w:rStyle w:val="8"/>
      </w:rPr>
    </w:pPr>
    <w:r>
      <w:rPr>
        <w:rStyle w:val="8"/>
      </w:rPr>
      <w:fldChar w:fldCharType="begin"/>
    </w:r>
    <w:r>
      <w:rPr>
        <w:rStyle w:val="8"/>
      </w:rPr>
      <w:instrText xml:space="preserve">PAGE  </w:instrText>
    </w:r>
    <w:r>
      <w:fldChar w:fldCharType="separate"/>
    </w:r>
    <w:r>
      <w:fldChar w:fldCharType="end"/>
    </w:r>
  </w:p>
  <w:p w14:paraId="6D27759F">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9578F">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singleLevel"/>
    <w:tmpl w:val="0053208E"/>
    <w:lvl w:ilvl="0" w:tentative="0">
      <w:start w:val="4"/>
      <w:numFmt w:val="chineseCounting"/>
      <w:suff w:val="nothing"/>
      <w:lvlText w:val="%1、"/>
      <w:lvlJc w:val="left"/>
      <w:rPr>
        <w:rFonts w:hint="eastAsia"/>
      </w:rPr>
    </w:lvl>
  </w:abstractNum>
  <w:abstractNum w:abstractNumId="1">
    <w:nsid w:val="37B6EEB9"/>
    <w:multiLevelType w:val="singleLevel"/>
    <w:tmpl w:val="37B6EEB9"/>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C6C96"/>
    <w:rsid w:val="00B45991"/>
    <w:rsid w:val="02B34423"/>
    <w:rsid w:val="032450E9"/>
    <w:rsid w:val="05474DCC"/>
    <w:rsid w:val="083D3697"/>
    <w:rsid w:val="094149E6"/>
    <w:rsid w:val="0C2E1CA1"/>
    <w:rsid w:val="0DD552C4"/>
    <w:rsid w:val="0E0B7D94"/>
    <w:rsid w:val="0E7B33B5"/>
    <w:rsid w:val="0F9240B3"/>
    <w:rsid w:val="0FC30F7A"/>
    <w:rsid w:val="118D7427"/>
    <w:rsid w:val="12126B27"/>
    <w:rsid w:val="12AE1FE2"/>
    <w:rsid w:val="146143A3"/>
    <w:rsid w:val="14833BD2"/>
    <w:rsid w:val="16447815"/>
    <w:rsid w:val="1797673A"/>
    <w:rsid w:val="19876715"/>
    <w:rsid w:val="19994214"/>
    <w:rsid w:val="1A912881"/>
    <w:rsid w:val="1B06659D"/>
    <w:rsid w:val="1C6276B3"/>
    <w:rsid w:val="1C964C34"/>
    <w:rsid w:val="1FAC4E8E"/>
    <w:rsid w:val="207D68CF"/>
    <w:rsid w:val="262818BC"/>
    <w:rsid w:val="2633657F"/>
    <w:rsid w:val="26C17D27"/>
    <w:rsid w:val="2A794B69"/>
    <w:rsid w:val="2B7C3A96"/>
    <w:rsid w:val="2C1B38E7"/>
    <w:rsid w:val="2C881926"/>
    <w:rsid w:val="2CC37F2E"/>
    <w:rsid w:val="2E2E125D"/>
    <w:rsid w:val="2EB7753B"/>
    <w:rsid w:val="31A41574"/>
    <w:rsid w:val="3362232D"/>
    <w:rsid w:val="34457235"/>
    <w:rsid w:val="34A24F4B"/>
    <w:rsid w:val="386922B8"/>
    <w:rsid w:val="3A313FD8"/>
    <w:rsid w:val="3A7E4A2D"/>
    <w:rsid w:val="3C8B0076"/>
    <w:rsid w:val="3CAC64BD"/>
    <w:rsid w:val="3D9A15BC"/>
    <w:rsid w:val="475F1FDB"/>
    <w:rsid w:val="48021EEB"/>
    <w:rsid w:val="49E553FD"/>
    <w:rsid w:val="4D5C1497"/>
    <w:rsid w:val="4D80714E"/>
    <w:rsid w:val="4D8C0A6D"/>
    <w:rsid w:val="4D8F501A"/>
    <w:rsid w:val="50226688"/>
    <w:rsid w:val="51AD57CC"/>
    <w:rsid w:val="54407199"/>
    <w:rsid w:val="551B1C37"/>
    <w:rsid w:val="55451F0D"/>
    <w:rsid w:val="55672065"/>
    <w:rsid w:val="59831B59"/>
    <w:rsid w:val="5C9829CC"/>
    <w:rsid w:val="5CCB27C4"/>
    <w:rsid w:val="5DFF0590"/>
    <w:rsid w:val="643211DC"/>
    <w:rsid w:val="649015CE"/>
    <w:rsid w:val="664247A2"/>
    <w:rsid w:val="675347E1"/>
    <w:rsid w:val="67CB129B"/>
    <w:rsid w:val="682824FA"/>
    <w:rsid w:val="68A07301"/>
    <w:rsid w:val="6A606509"/>
    <w:rsid w:val="6A6D03E7"/>
    <w:rsid w:val="6AF61E2F"/>
    <w:rsid w:val="6B2774B7"/>
    <w:rsid w:val="6B707604"/>
    <w:rsid w:val="6DD72B83"/>
    <w:rsid w:val="71417B3A"/>
    <w:rsid w:val="72B843BD"/>
    <w:rsid w:val="735E1215"/>
    <w:rsid w:val="738E2DDF"/>
    <w:rsid w:val="74A17BE6"/>
    <w:rsid w:val="76F908F6"/>
    <w:rsid w:val="787B0173"/>
    <w:rsid w:val="79343EDD"/>
    <w:rsid w:val="795A5FDB"/>
    <w:rsid w:val="7A1E34AC"/>
    <w:rsid w:val="7B9509EE"/>
    <w:rsid w:val="7D2E2563"/>
    <w:rsid w:val="7E8A310F"/>
    <w:rsid w:val="7F296359"/>
    <w:rsid w:val="7FE93E1C"/>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before="93" w:beforeLines="30"/>
    </w:pPr>
    <w:rPr>
      <w:rFonts w:ascii="仿宋_GB2312" w:eastAsia="仿宋_GB2312"/>
      <w:sz w:val="3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8">
    <w:name w:val="page number"/>
    <w:basedOn w:val="7"/>
    <w:qFormat/>
    <w:uiPriority w:val="0"/>
  </w:style>
  <w:style w:type="paragraph" w:customStyle="1" w:styleId="9">
    <w:name w:val="p_MsoNormal"/>
    <w:basedOn w:val="1"/>
    <w:qFormat/>
    <w:uiPriority w:val="0"/>
    <w:pPr>
      <w:jc w:val="left"/>
    </w:pPr>
    <w:rPr>
      <w:rFonts w:ascii="宋体" w:hAnsi="宋体" w:eastAsia="宋体" w:cs="宋体"/>
      <w:sz w:val="24"/>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D45296F7F2444F3C8CDB43DA2E9FADD3</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1a555af-654d-446f-ae98-e55d8b7fe2d1}">
  <ds:schemaRefs/>
</ds:datastoreItem>
</file>

<file path=docProps/app.xml><?xml version="1.0" encoding="utf-8"?>
<Properties xmlns="http://schemas.openxmlformats.org/officeDocument/2006/extended-properties" xmlns:vt="http://schemas.openxmlformats.org/officeDocument/2006/docPropsVTypes">
  <Template>Normal.dotm</Template>
  <Company>云南省财政厅</Company>
  <Pages>17</Pages>
  <Words>5742</Words>
  <Characters>7071</Characters>
  <Lines>0</Lines>
  <Paragraphs>0</Paragraphs>
  <TotalTime>128</TotalTime>
  <ScaleCrop>false</ScaleCrop>
  <LinksUpToDate>false</LinksUpToDate>
  <CharactersWithSpaces>7091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2024-06-03T01:34:00Z</dcterms:created>
  <dc:creator>李瑞婷_x0028_拟稿_x0029_</dc:creator>
  <cp:lastModifiedBy>周红明</cp:lastModifiedBy>
  <cp:lastPrinted>2024-07-30T06:24:00Z</cp:lastPrinted>
  <dcterms:modified xsi:type="dcterms:W3CDTF">2026-10-16T00:52:02Z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D45296F7F2444F3C8CDB43DA2E9FADD3</vt:lpwstr>
  </property>
  <property fmtid="{D5CDD505-2E9C-101B-9397-08002B2CF9AE}" pid="4" name="KSOTemplateDocerSaveRecord">
    <vt:lpwstr>eyJoZGlkIjoiMDAxYzUxYjBkYzM1MGUwYTY1N2Q3NWY5MzI2MjkyNjUiLCJ1c2VySWQiOiIxMTU3MzgzMTI3In0=</vt:lpwstr>
  </property>
</Properties>
</file>