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DAEF2">
      <w:pPr>
        <w:jc w:val="center"/>
        <w:outlineLvl w:val="0"/>
        <w:rPr>
          <w:rFonts w:hint="eastAsia" w:ascii="方正小标宋简体" w:hAnsi="方正小标宋简体" w:eastAsia="方正小标宋简体"/>
          <w:sz w:val="36"/>
          <w:lang w:val="zh-CN"/>
        </w:rPr>
      </w:pPr>
      <w:r>
        <w:rPr>
          <w:rFonts w:hint="eastAsia" w:ascii="方正小标宋简体" w:hAnsi="方正小标宋简体" w:eastAsia="方正小标宋简体"/>
          <w:sz w:val="36"/>
          <w:lang w:val="zh-CN"/>
        </w:rPr>
        <w:t>中国共产党华宁县委员会机构编制委员会办公室</w:t>
      </w:r>
    </w:p>
    <w:p w14:paraId="6EB3690E">
      <w:pPr>
        <w:jc w:val="center"/>
        <w:outlineLvl w:val="0"/>
        <w:rPr>
          <w:rFonts w:hint="eastAsia" w:ascii="方正小标宋简体" w:hAnsi="方正小标宋简体" w:eastAsia="方正小标宋简体" w:cs="方正小标宋简体"/>
          <w:sz w:val="36"/>
          <w:szCs w:val="36"/>
          <w:highlight w:val="none"/>
          <w:lang w:eastAsia="zh-CN"/>
        </w:rPr>
      </w:pPr>
      <w:r>
        <w:rPr>
          <w:rFonts w:hint="eastAsia" w:ascii="方正小标宋简体" w:hAnsi="方正小标宋简体" w:eastAsia="方正小标宋简体" w:cs="方正小标宋简体"/>
          <w:sz w:val="36"/>
          <w:szCs w:val="36"/>
          <w:highlight w:val="none"/>
          <w:lang w:val="en-US" w:eastAsia="zh-CN"/>
        </w:rPr>
        <w:t>2025年度</w:t>
      </w:r>
      <w:r>
        <w:rPr>
          <w:rFonts w:hint="eastAsia" w:ascii="方正小标宋简体" w:hAnsi="方正小标宋简体" w:eastAsia="方正小标宋简体" w:cs="方正小标宋简体"/>
          <w:sz w:val="36"/>
          <w:szCs w:val="36"/>
          <w:highlight w:val="none"/>
        </w:rPr>
        <w:t>部门决算</w:t>
      </w:r>
      <w:r>
        <w:rPr>
          <w:rFonts w:hint="eastAsia" w:ascii="方正小标宋简体" w:hAnsi="方正小标宋简体" w:eastAsia="方正小标宋简体" w:cs="方正小标宋简体"/>
          <w:sz w:val="36"/>
          <w:szCs w:val="36"/>
          <w:highlight w:val="none"/>
          <w:lang w:eastAsia="zh-CN"/>
        </w:rPr>
        <w:t>目录</w:t>
      </w:r>
    </w:p>
    <w:p w14:paraId="124B76BB">
      <w:pPr>
        <w:jc w:val="left"/>
        <w:rPr>
          <w:rFonts w:hint="eastAsia" w:ascii="黑体" w:hAnsi="黑体" w:eastAsia="黑体"/>
          <w:sz w:val="30"/>
          <w:szCs w:val="30"/>
          <w:highlight w:val="none"/>
        </w:rPr>
      </w:pPr>
      <w:bookmarkStart w:id="0" w:name="_GoBack"/>
      <w:bookmarkEnd w:id="0"/>
    </w:p>
    <w:p w14:paraId="7D19F890">
      <w:pPr>
        <w:jc w:val="left"/>
        <w:outlineLvl w:val="0"/>
        <w:rPr>
          <w:rFonts w:hint="eastAsia" w:ascii="黑体" w:hAnsi="黑体" w:eastAsia="黑体"/>
          <w:sz w:val="30"/>
          <w:szCs w:val="30"/>
          <w:highlight w:val="none"/>
        </w:rPr>
      </w:pPr>
      <w:r>
        <w:rPr>
          <w:rFonts w:hint="eastAsia" w:ascii="黑体" w:hAnsi="黑体" w:eastAsia="黑体"/>
          <w:sz w:val="30"/>
          <w:szCs w:val="30"/>
          <w:highlight w:val="none"/>
        </w:rPr>
        <w:t xml:space="preserve">第一部分  </w:t>
      </w:r>
      <w:r>
        <w:rPr>
          <w:rFonts w:hint="eastAsia" w:ascii="黑体" w:hAnsi="黑体" w:eastAsia="黑体"/>
          <w:sz w:val="30"/>
          <w:szCs w:val="30"/>
          <w:highlight w:val="none"/>
          <w:lang w:eastAsia="zh-CN"/>
        </w:rPr>
        <w:t>部门</w:t>
      </w:r>
      <w:r>
        <w:rPr>
          <w:rFonts w:hint="eastAsia" w:ascii="黑体" w:hAnsi="黑体" w:eastAsia="黑体"/>
          <w:sz w:val="30"/>
          <w:szCs w:val="30"/>
          <w:highlight w:val="none"/>
        </w:rPr>
        <w:t>概况</w:t>
      </w:r>
    </w:p>
    <w:p w14:paraId="5E01A4BA">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一、主要职</w:t>
      </w:r>
      <w:r>
        <w:rPr>
          <w:rFonts w:hint="eastAsia" w:ascii="楷体" w:hAnsi="楷体" w:eastAsia="楷体"/>
          <w:sz w:val="30"/>
          <w:szCs w:val="30"/>
          <w:highlight w:val="none"/>
          <w:lang w:eastAsia="zh-CN"/>
        </w:rPr>
        <w:t>责</w:t>
      </w:r>
    </w:p>
    <w:p w14:paraId="2AFD7BCA">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二、</w:t>
      </w:r>
      <w:r>
        <w:rPr>
          <w:rFonts w:hint="eastAsia" w:ascii="楷体" w:hAnsi="楷体" w:eastAsia="楷体"/>
          <w:sz w:val="30"/>
          <w:szCs w:val="30"/>
          <w:highlight w:val="none"/>
          <w:lang w:eastAsia="zh-CN"/>
        </w:rPr>
        <w:t>基本情况</w:t>
      </w:r>
    </w:p>
    <w:p w14:paraId="034E71EA">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三、重点工作概述</w:t>
      </w:r>
    </w:p>
    <w:p w14:paraId="23ABDEC1">
      <w:pPr>
        <w:jc w:val="left"/>
        <w:outlineLvl w:val="0"/>
        <w:rPr>
          <w:rFonts w:hint="eastAsia" w:ascii="黑体" w:hAnsi="黑体" w:eastAsia="黑体"/>
          <w:sz w:val="30"/>
          <w:szCs w:val="30"/>
          <w:highlight w:val="none"/>
        </w:rPr>
      </w:pPr>
      <w:r>
        <w:rPr>
          <w:rFonts w:hint="eastAsia" w:ascii="黑体" w:hAnsi="黑体" w:eastAsia="黑体"/>
          <w:sz w:val="30"/>
          <w:szCs w:val="30"/>
          <w:highlight w:val="none"/>
        </w:rPr>
        <w:t xml:space="preserve">第二部分  </w:t>
      </w:r>
      <w:r>
        <w:rPr>
          <w:rFonts w:hint="eastAsia" w:ascii="黑体" w:hAnsi="黑体" w:eastAsia="黑体"/>
          <w:sz w:val="30"/>
          <w:szCs w:val="30"/>
          <w:highlight w:val="none"/>
          <w:lang w:val="en-US" w:eastAsia="zh-CN"/>
        </w:rPr>
        <w:t>2025年度</w:t>
      </w:r>
      <w:r>
        <w:rPr>
          <w:rFonts w:hint="eastAsia" w:ascii="黑体" w:hAnsi="黑体" w:eastAsia="黑体"/>
          <w:sz w:val="30"/>
          <w:szCs w:val="30"/>
          <w:highlight w:val="none"/>
        </w:rPr>
        <w:t>部门决算表</w:t>
      </w:r>
    </w:p>
    <w:p w14:paraId="3654E94E">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一、收入支出决算表</w:t>
      </w:r>
    </w:p>
    <w:p w14:paraId="724C1924">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二、收入决算表</w:t>
      </w:r>
    </w:p>
    <w:p w14:paraId="6E05EB4E">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三、支出决算表</w:t>
      </w:r>
    </w:p>
    <w:p w14:paraId="28B5C314">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四、财政拨款收入支出决算表</w:t>
      </w:r>
    </w:p>
    <w:p w14:paraId="1B30A68F">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五、一般公共预算财政拨款收入支出决算表</w:t>
      </w:r>
    </w:p>
    <w:p w14:paraId="55815D6E">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六、一般公共预算财政拨款基本支出决算表</w:t>
      </w:r>
    </w:p>
    <w:p w14:paraId="1426C1DD">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七、</w:t>
      </w:r>
      <w:r>
        <w:rPr>
          <w:rFonts w:hint="eastAsia" w:ascii="楷体" w:hAnsi="楷体" w:eastAsia="楷体"/>
          <w:sz w:val="30"/>
          <w:szCs w:val="30"/>
          <w:highlight w:val="none"/>
          <w:lang w:eastAsia="zh-CN"/>
        </w:rPr>
        <w:t>一般公共预算财政拨款项目支出决算表</w:t>
      </w:r>
    </w:p>
    <w:p w14:paraId="7991AE77">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eastAsia="zh-CN"/>
        </w:rPr>
        <w:t>八</w:t>
      </w:r>
      <w:r>
        <w:rPr>
          <w:rFonts w:hint="eastAsia" w:ascii="楷体" w:hAnsi="楷体" w:eastAsia="楷体"/>
          <w:sz w:val="30"/>
          <w:szCs w:val="30"/>
          <w:highlight w:val="none"/>
        </w:rPr>
        <w:t>、政府性基金预算财政拨款收入支出决算表</w:t>
      </w:r>
    </w:p>
    <w:p w14:paraId="039EE816">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val="en-US" w:eastAsia="zh-CN"/>
        </w:rPr>
        <w:t>九、国有资本经营预算财政拨款收入支出决算表</w:t>
      </w:r>
    </w:p>
    <w:p w14:paraId="5E00B979">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eastAsia="zh-CN"/>
        </w:rPr>
        <w:t>十</w:t>
      </w:r>
      <w:r>
        <w:rPr>
          <w:rFonts w:hint="eastAsia" w:ascii="楷体" w:hAnsi="楷体" w:eastAsia="楷体"/>
          <w:sz w:val="30"/>
          <w:szCs w:val="30"/>
          <w:highlight w:val="none"/>
        </w:rPr>
        <w:t>、</w:t>
      </w:r>
      <w:r>
        <w:rPr>
          <w:rFonts w:hint="eastAsia" w:ascii="楷体" w:hAnsi="楷体" w:eastAsia="楷体"/>
          <w:sz w:val="30"/>
          <w:szCs w:val="30"/>
          <w:highlight w:val="none"/>
          <w:lang w:eastAsia="zh-CN"/>
        </w:rPr>
        <w:t>财政拨款</w:t>
      </w:r>
      <w:r>
        <w:rPr>
          <w:rFonts w:hint="eastAsia" w:ascii="楷体" w:hAnsi="楷体" w:eastAsia="楷体"/>
          <w:sz w:val="30"/>
          <w:szCs w:val="30"/>
          <w:highlight w:val="none"/>
        </w:rPr>
        <w:t>“三公”经费、行政参公单位机关运行经费情况表</w:t>
      </w:r>
    </w:p>
    <w:p w14:paraId="4051698F">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val="en-US" w:eastAsia="zh-CN"/>
        </w:rPr>
        <w:t>十一、一般公共预算财政拨款“三公”经费情况表</w:t>
      </w:r>
    </w:p>
    <w:p w14:paraId="435F8923">
      <w:pPr>
        <w:jc w:val="left"/>
        <w:outlineLvl w:val="0"/>
        <w:rPr>
          <w:rFonts w:hint="eastAsia" w:ascii="楷体" w:hAnsi="楷体" w:eastAsia="楷体"/>
          <w:sz w:val="30"/>
          <w:szCs w:val="30"/>
          <w:highlight w:val="none"/>
        </w:rPr>
      </w:pPr>
      <w:r>
        <w:rPr>
          <w:rFonts w:hint="eastAsia" w:ascii="黑体" w:hAnsi="黑体" w:eastAsia="黑体"/>
          <w:sz w:val="30"/>
          <w:szCs w:val="30"/>
          <w:highlight w:val="none"/>
        </w:rPr>
        <w:t>第三部</w:t>
      </w:r>
      <w:r>
        <w:rPr>
          <w:rFonts w:hint="eastAsia" w:ascii="黑体" w:hAnsi="黑体" w:eastAsia="黑体"/>
          <w:sz w:val="30"/>
          <w:szCs w:val="30"/>
          <w:highlight w:val="none"/>
          <w:lang w:eastAsia="zh-CN"/>
        </w:rPr>
        <w:t>分</w:t>
      </w:r>
      <w:r>
        <w:rPr>
          <w:rFonts w:hint="eastAsia" w:ascii="黑体" w:hAnsi="黑体" w:eastAsia="黑体"/>
          <w:sz w:val="30"/>
          <w:szCs w:val="30"/>
          <w:highlight w:val="none"/>
        </w:rPr>
        <w:t xml:space="preserve">  </w:t>
      </w:r>
      <w:r>
        <w:rPr>
          <w:rFonts w:hint="eastAsia" w:ascii="黑体" w:hAnsi="黑体" w:eastAsia="黑体"/>
          <w:sz w:val="30"/>
          <w:szCs w:val="30"/>
          <w:highlight w:val="none"/>
          <w:lang w:val="en-US" w:eastAsia="zh-CN"/>
        </w:rPr>
        <w:t>2025年度</w:t>
      </w:r>
      <w:r>
        <w:rPr>
          <w:rFonts w:hint="eastAsia" w:ascii="黑体" w:hAnsi="黑体" w:eastAsia="黑体"/>
          <w:sz w:val="30"/>
          <w:szCs w:val="30"/>
          <w:highlight w:val="none"/>
        </w:rPr>
        <w:t>部门决算情况说明</w:t>
      </w:r>
    </w:p>
    <w:p w14:paraId="078B271F">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一、收入决算情况说明</w:t>
      </w:r>
    </w:p>
    <w:p w14:paraId="793D4738">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二、支出决算情况说明</w:t>
      </w:r>
    </w:p>
    <w:p w14:paraId="5D9968EF">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三、一般公共预算财政拨款支出决算情况说明</w:t>
      </w:r>
    </w:p>
    <w:p w14:paraId="45E1097B">
      <w:pPr>
        <w:widowControl/>
        <w:snapToGrid w:val="0"/>
        <w:spacing w:before="100" w:after="100" w:line="360" w:lineRule="auto"/>
        <w:jc w:val="left"/>
        <w:outlineLvl w:val="1"/>
        <w:rPr>
          <w:rFonts w:hint="eastAsia" w:ascii="楷体" w:hAnsi="楷体" w:eastAsia="楷体"/>
          <w:sz w:val="30"/>
          <w:szCs w:val="30"/>
          <w:highlight w:val="none"/>
        </w:rPr>
      </w:pPr>
      <w:r>
        <w:rPr>
          <w:rFonts w:hint="eastAsia" w:ascii="楷体" w:hAnsi="楷体" w:eastAsia="楷体"/>
          <w:sz w:val="30"/>
          <w:szCs w:val="30"/>
          <w:highlight w:val="none"/>
        </w:rPr>
        <w:t>四、财政拨款“三公”经费支出决算情况说明</w:t>
      </w:r>
    </w:p>
    <w:p w14:paraId="52BA9861">
      <w:pPr>
        <w:widowControl/>
        <w:snapToGrid w:val="0"/>
        <w:spacing w:before="100" w:after="100" w:line="360" w:lineRule="auto"/>
        <w:jc w:val="left"/>
        <w:outlineLvl w:val="0"/>
        <w:rPr>
          <w:rFonts w:hint="eastAsia" w:ascii="黑体" w:hAnsi="黑体" w:eastAsia="黑体"/>
          <w:sz w:val="30"/>
          <w:szCs w:val="30"/>
          <w:highlight w:val="none"/>
        </w:rPr>
      </w:pPr>
      <w:r>
        <w:rPr>
          <w:rFonts w:hint="eastAsia" w:ascii="黑体" w:hAnsi="黑体" w:eastAsia="黑体"/>
          <w:sz w:val="30"/>
          <w:szCs w:val="30"/>
          <w:highlight w:val="none"/>
          <w:lang w:eastAsia="zh-CN"/>
        </w:rPr>
        <w:t>第四部分</w:t>
      </w:r>
      <w:r>
        <w:rPr>
          <w:rFonts w:hint="eastAsia" w:ascii="楷体" w:hAnsi="楷体" w:eastAsia="楷体"/>
          <w:sz w:val="30"/>
          <w:szCs w:val="30"/>
          <w:highlight w:val="none"/>
          <w:lang w:val="en-US" w:eastAsia="zh-CN"/>
        </w:rPr>
        <w:t xml:space="preserve">  </w:t>
      </w:r>
      <w:r>
        <w:rPr>
          <w:rFonts w:hint="eastAsia" w:ascii="黑体" w:hAnsi="黑体" w:eastAsia="黑体"/>
          <w:sz w:val="30"/>
          <w:szCs w:val="30"/>
          <w:highlight w:val="none"/>
        </w:rPr>
        <w:t>其他重要事项及相关口径情况说明</w:t>
      </w:r>
    </w:p>
    <w:p w14:paraId="22774EBB">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一、</w:t>
      </w:r>
      <w:r>
        <w:rPr>
          <w:rFonts w:hint="eastAsia" w:ascii="楷体" w:hAnsi="楷体" w:eastAsia="楷体"/>
          <w:sz w:val="30"/>
          <w:szCs w:val="30"/>
          <w:highlight w:val="none"/>
        </w:rPr>
        <w:t>机关运行经费支出情况</w:t>
      </w:r>
    </w:p>
    <w:p w14:paraId="070C6F1E">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二、</w:t>
      </w:r>
      <w:r>
        <w:rPr>
          <w:rFonts w:hint="eastAsia" w:ascii="楷体" w:hAnsi="楷体" w:eastAsia="楷体"/>
          <w:sz w:val="30"/>
          <w:szCs w:val="30"/>
          <w:highlight w:val="none"/>
        </w:rPr>
        <w:t>国有资产占用情况</w:t>
      </w:r>
    </w:p>
    <w:p w14:paraId="79211777">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三、</w:t>
      </w:r>
      <w:r>
        <w:rPr>
          <w:rFonts w:hint="eastAsia" w:ascii="楷体" w:hAnsi="楷体" w:eastAsia="楷体"/>
          <w:sz w:val="30"/>
          <w:szCs w:val="30"/>
          <w:highlight w:val="none"/>
        </w:rPr>
        <w:t>政府采购支出情况</w:t>
      </w:r>
    </w:p>
    <w:p w14:paraId="433207CB">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eastAsia="zh-CN"/>
        </w:rPr>
        <w:t>四、</w:t>
      </w:r>
      <w:r>
        <w:rPr>
          <w:rFonts w:hint="eastAsia" w:ascii="楷体" w:hAnsi="楷体" w:eastAsia="楷体"/>
          <w:sz w:val="30"/>
          <w:szCs w:val="30"/>
          <w:highlight w:val="none"/>
          <w:lang w:val="en-US" w:eastAsia="zh-CN"/>
        </w:rPr>
        <w:t>部门绩效自评情况</w:t>
      </w:r>
    </w:p>
    <w:p w14:paraId="32E35A13">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eastAsia="zh-CN"/>
        </w:rPr>
        <w:t>五、</w:t>
      </w:r>
      <w:r>
        <w:rPr>
          <w:rFonts w:hint="eastAsia" w:ascii="楷体" w:hAnsi="楷体" w:eastAsia="楷体"/>
          <w:sz w:val="30"/>
          <w:szCs w:val="30"/>
          <w:highlight w:val="none"/>
          <w:lang w:val="en-US" w:eastAsia="zh-CN"/>
        </w:rPr>
        <w:t>其他重要事项情况说明</w:t>
      </w:r>
    </w:p>
    <w:p w14:paraId="6BA01F67">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val="en-US" w:eastAsia="zh-CN"/>
        </w:rPr>
        <w:t>六、相关口径说明</w:t>
      </w:r>
    </w:p>
    <w:p w14:paraId="61F4B4CF">
      <w:pPr>
        <w:widowControl/>
        <w:snapToGrid w:val="0"/>
        <w:spacing w:before="100" w:after="100" w:line="360" w:lineRule="auto"/>
        <w:jc w:val="left"/>
        <w:outlineLvl w:val="0"/>
        <w:rPr>
          <w:rFonts w:hint="eastAsia" w:ascii="黑体" w:hAnsi="黑体" w:eastAsia="黑体"/>
          <w:sz w:val="30"/>
          <w:szCs w:val="30"/>
          <w:highlight w:val="none"/>
        </w:rPr>
      </w:pPr>
      <w:r>
        <w:rPr>
          <w:rFonts w:hint="eastAsia" w:ascii="黑体" w:hAnsi="黑体" w:eastAsia="黑体"/>
          <w:sz w:val="30"/>
          <w:szCs w:val="30"/>
          <w:highlight w:val="none"/>
        </w:rPr>
        <w:t>第</w:t>
      </w:r>
      <w:r>
        <w:rPr>
          <w:rFonts w:hint="eastAsia" w:ascii="黑体" w:hAnsi="黑体" w:eastAsia="黑体"/>
          <w:sz w:val="30"/>
          <w:szCs w:val="30"/>
          <w:highlight w:val="none"/>
          <w:lang w:eastAsia="zh-CN"/>
        </w:rPr>
        <w:t>五</w:t>
      </w:r>
      <w:r>
        <w:rPr>
          <w:rFonts w:hint="eastAsia" w:ascii="黑体" w:hAnsi="黑体" w:eastAsia="黑体"/>
          <w:sz w:val="30"/>
          <w:szCs w:val="30"/>
          <w:highlight w:val="none"/>
        </w:rPr>
        <w:t>部分  名词解释</w:t>
      </w:r>
    </w:p>
    <w:p w14:paraId="541EA643">
      <w:pPr>
        <w:jc w:val="center"/>
        <w:rPr>
          <w:rFonts w:hint="eastAsia" w:ascii="黑体" w:hAnsi="黑体" w:eastAsia="黑体"/>
          <w:sz w:val="32"/>
          <w:szCs w:val="32"/>
          <w:highlight w:val="none"/>
        </w:rPr>
      </w:pPr>
    </w:p>
    <w:p w14:paraId="10132543">
      <w:pPr>
        <w:jc w:val="center"/>
        <w:rPr>
          <w:rFonts w:hint="eastAsia" w:ascii="黑体" w:hAnsi="黑体" w:eastAsia="黑体"/>
          <w:sz w:val="32"/>
          <w:szCs w:val="32"/>
          <w:highlight w:val="none"/>
        </w:rPr>
      </w:pPr>
    </w:p>
    <w:p w14:paraId="3A0FA114">
      <w:pPr>
        <w:jc w:val="center"/>
        <w:rPr>
          <w:rFonts w:hint="eastAsia" w:ascii="黑体" w:hAnsi="黑体" w:eastAsia="黑体"/>
          <w:sz w:val="32"/>
          <w:szCs w:val="32"/>
          <w:highlight w:val="none"/>
        </w:rPr>
      </w:pPr>
    </w:p>
    <w:p w14:paraId="50229436">
      <w:pPr>
        <w:jc w:val="center"/>
        <w:rPr>
          <w:rFonts w:hint="eastAsia" w:ascii="黑体" w:hAnsi="黑体" w:eastAsia="黑体"/>
          <w:sz w:val="32"/>
          <w:szCs w:val="32"/>
          <w:highlight w:val="none"/>
        </w:rPr>
      </w:pPr>
    </w:p>
    <w:p w14:paraId="3D2CBB14">
      <w:pPr>
        <w:jc w:val="center"/>
        <w:rPr>
          <w:rFonts w:hint="eastAsia" w:ascii="黑体" w:hAnsi="黑体" w:eastAsia="黑体"/>
          <w:sz w:val="32"/>
          <w:szCs w:val="32"/>
          <w:highlight w:val="none"/>
        </w:rPr>
      </w:pPr>
    </w:p>
    <w:p w14:paraId="0713F583">
      <w:pPr>
        <w:jc w:val="center"/>
        <w:rPr>
          <w:rFonts w:hint="eastAsia" w:ascii="黑体" w:hAnsi="黑体" w:eastAsia="黑体"/>
          <w:sz w:val="32"/>
          <w:szCs w:val="32"/>
          <w:highlight w:val="none"/>
        </w:rPr>
      </w:pPr>
    </w:p>
    <w:p w14:paraId="1A4ACB02">
      <w:pPr>
        <w:keepNext w:val="0"/>
        <w:keepLines w:val="0"/>
        <w:pageBreakBefore w:val="0"/>
        <w:widowControl w:val="0"/>
        <w:kinsoku/>
        <w:wordWrap/>
        <w:overflowPunct/>
        <w:topLinePunct w:val="0"/>
        <w:autoSpaceDE/>
        <w:autoSpaceDN/>
        <w:bidi w:val="0"/>
        <w:adjustRightInd w:val="0"/>
        <w:snapToGrid w:val="0"/>
        <w:spacing w:before="260" w:after="260" w:line="560" w:lineRule="exact"/>
        <w:jc w:val="center"/>
        <w:textAlignment w:val="auto"/>
        <w:outlineLvl w:val="0"/>
        <w:rPr>
          <w:rFonts w:hint="eastAsia" w:ascii="黑体" w:hAnsi="黑体" w:eastAsia="黑体"/>
          <w:sz w:val="32"/>
          <w:szCs w:val="32"/>
          <w:highlight w:val="none"/>
          <w:lang w:eastAsia="zh-CN"/>
        </w:rPr>
      </w:pPr>
      <w:r>
        <w:rPr>
          <w:rFonts w:hint="eastAsia" w:ascii="黑体" w:hAnsi="黑体" w:eastAsia="黑体"/>
          <w:sz w:val="32"/>
          <w:szCs w:val="32"/>
          <w:highlight w:val="none"/>
        </w:rPr>
        <w:t xml:space="preserve">第一部分  </w:t>
      </w:r>
      <w:r>
        <w:rPr>
          <w:rFonts w:hint="eastAsia" w:ascii="黑体" w:hAnsi="黑体" w:eastAsia="黑体"/>
          <w:sz w:val="32"/>
          <w:szCs w:val="32"/>
          <w:highlight w:val="none"/>
          <w:lang w:eastAsia="zh-CN"/>
        </w:rPr>
        <w:t>部门概况</w:t>
      </w:r>
    </w:p>
    <w:p w14:paraId="6E0BF7A9">
      <w:pPr>
        <w:keepNext w:val="0"/>
        <w:keepLines w:val="0"/>
        <w:pageBreakBefore w:val="0"/>
        <w:widowControl w:val="0"/>
        <w:kinsoku/>
        <w:wordWrap/>
        <w:overflowPunct/>
        <w:topLinePunct w:val="0"/>
        <w:autoSpaceDE/>
        <w:autoSpaceDN/>
        <w:bidi w:val="0"/>
        <w:adjustRightInd w:val="0"/>
        <w:snapToGrid w:val="0"/>
        <w:spacing w:line="240" w:lineRule="auto"/>
        <w:ind w:firstLine="600" w:firstLineChars="200"/>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rPr>
        <w:t>一、主要</w:t>
      </w:r>
      <w:r>
        <w:rPr>
          <w:rFonts w:hint="eastAsia" w:ascii="黑体" w:hAnsi="黑体" w:eastAsia="黑体" w:cs="黑体"/>
          <w:sz w:val="30"/>
          <w:szCs w:val="30"/>
          <w:highlight w:val="none"/>
          <w:lang w:eastAsia="zh-CN"/>
        </w:rPr>
        <w:t>职责</w:t>
      </w:r>
    </w:p>
    <w:p w14:paraId="7EB20AC7">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eastAsia" w:ascii="Times New Roman" w:hAnsi="Times New Roman" w:eastAsia="仿宋" w:cs="Times New Roman"/>
          <w:sz w:val="30"/>
          <w:szCs w:val="30"/>
          <w:highlight w:val="none"/>
          <w:lang w:val="en-US" w:eastAsia="zh-CN"/>
        </w:rPr>
      </w:pPr>
      <w:r>
        <w:rPr>
          <w:rFonts w:hint="eastAsia" w:ascii="Times New Roman" w:hAnsi="Times New Roman" w:eastAsia="仿宋" w:cs="Times New Roman"/>
          <w:sz w:val="30"/>
          <w:szCs w:val="30"/>
          <w:highlight w:val="none"/>
          <w:lang w:val="en-US" w:eastAsia="zh-CN"/>
        </w:rPr>
        <w:t>一是认真贯彻执行党中央、国务院，省委、省政府，市委、市政府机构编制管理的方针、政策及法规，负责拟订全县行政管理体制和机构改革方案、事业单位管理体制和机构改革方案、机构编制管理政策、办法，并组织实施。二是统一管理全县党政机关、人大、政协、法院、检察院机关，人民团体机关和事业单位的机构编制工作；审核县委、县政府各部门的职能配置与调整，协调县委、县政府各部门之间和县级机关各部门与乡（镇、街道）之间的职责分工。三是负责审核县委、县政府部门和县人大、县政协、县法院、县检察院机关及县人民团体机关的主要职责、内设机构、人员编制方案。审核全县事业单位的职责任务、机构性质、机构规格、人员编制及领导职数。四是制定全县机关事业单位编制使用年度计划，负责全县机关、参照《公务员法》管理事业单位及全县事业单位人员招录（聘）和人员调入的机构编制审核工作；健全完善机构编制、人员与财政预算相结合的管理机制；负责审核县属机关事业单位的编制使用，监督检查乡（镇、街道）机关事业单位编制使用情况，负责全县机构编制基础数据库和信息化建设，承担机构编制统计工作和实名制管理工作。五是负责各级各类机关、事业单位和其他非营利性机构“政务”、“公益”中文域名注册的审核工作。六是监督检查全县机构编制管理法律、法规、政策、制度的执行情况和机构改革方案以及部门“三定”规定的落实情况；负责受理违反机构编制管理规定行为的举报，会同有关部门查处机构编制违法违纪行为。七是负责全县事业单位登记管理工作；指导和实施事业单位的法人治理结构、绩效评估工作；开展有关事业单位登记管理的社会服务。八是承担县委、县政府和县机构编制委员会交办的其他事项。</w:t>
      </w:r>
    </w:p>
    <w:p w14:paraId="48531CB0">
      <w:pPr>
        <w:keepNext w:val="0"/>
        <w:keepLines w:val="0"/>
        <w:pageBreakBefore w:val="0"/>
        <w:numPr>
          <w:ilvl w:val="0"/>
          <w:numId w:val="0"/>
        </w:numPr>
        <w:kinsoku/>
        <w:overflowPunct/>
        <w:topLinePunct w:val="0"/>
        <w:autoSpaceDE/>
        <w:autoSpaceDN/>
        <w:bidi w:val="0"/>
        <w:adjustRightInd w:val="0"/>
        <w:snapToGrid w:val="0"/>
        <w:spacing w:line="560" w:lineRule="exact"/>
        <w:ind w:firstLine="600" w:firstLineChars="200"/>
        <w:textAlignment w:val="auto"/>
        <w:outlineLvl w:val="1"/>
        <w:rPr>
          <w:rFonts w:hint="eastAsia" w:ascii="方正黑体_GBK" w:hAnsi="方正黑体_GBK" w:eastAsia="方正黑体_GBK" w:cs="方正黑体_GBK"/>
          <w:sz w:val="30"/>
          <w:szCs w:val="30"/>
          <w:highlight w:val="none"/>
          <w:lang w:eastAsia="zh-CN"/>
        </w:rPr>
      </w:pPr>
      <w:r>
        <w:rPr>
          <w:rFonts w:hint="eastAsia" w:ascii="黑体" w:hAnsi="黑体" w:eastAsia="黑体" w:cs="黑体"/>
          <w:sz w:val="30"/>
          <w:szCs w:val="30"/>
          <w:highlight w:val="none"/>
          <w:lang w:eastAsia="zh-CN"/>
        </w:rPr>
        <w:t>二、基本情况</w:t>
      </w:r>
    </w:p>
    <w:p w14:paraId="0E85BCAC">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（一）机构设置情况</w:t>
      </w:r>
    </w:p>
    <w:p w14:paraId="18759AF0">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我部门共设置2个内设机构，包括：综合股、机构编制股。</w:t>
      </w:r>
    </w:p>
    <w:p w14:paraId="057F5477">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所属单位1个，中共华宁县委机构编制委员会办公室信息统计中心，未独立核算。</w:t>
      </w:r>
    </w:p>
    <w:p w14:paraId="1C927F91">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（二）决算单位构成情况</w:t>
      </w:r>
    </w:p>
    <w:p w14:paraId="6B7EDB3A">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纳入我部门</w:t>
      </w: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部门决算编报的单位共</w:t>
      </w:r>
      <w:r>
        <w:rPr>
          <w:rFonts w:hint="eastAsia" w:ascii="Times New Roman" w:hAnsi="Times New Roman" w:eastAsia="仿宋" w:cs="Times New Roman"/>
          <w:sz w:val="30"/>
          <w:szCs w:val="30"/>
          <w:highlight w:val="none"/>
          <w:lang w:val="en-US" w:eastAsia="zh-CN"/>
        </w:rPr>
        <w:t>1</w:t>
      </w:r>
      <w:r>
        <w:rPr>
          <w:rFonts w:hint="default" w:ascii="Times New Roman" w:hAnsi="Times New Roman" w:eastAsia="仿宋" w:cs="Times New Roman"/>
          <w:sz w:val="30"/>
          <w:szCs w:val="30"/>
          <w:highlight w:val="none"/>
          <w:lang w:val="zh-CN" w:eastAsia="zh-CN"/>
        </w:rPr>
        <w:t>个。</w:t>
      </w:r>
      <w:r>
        <w:rPr>
          <w:rFonts w:hint="eastAsia" w:ascii="Times New Roman" w:hAnsi="Times New Roman" w:eastAsia="仿宋" w:cs="Times New Roman"/>
          <w:sz w:val="30"/>
          <w:szCs w:val="30"/>
          <w:highlight w:val="none"/>
          <w:lang w:val="zh-CN" w:eastAsia="zh-CN"/>
        </w:rPr>
        <w:t>为中国共产党华宁县委员会机构编制委员会办公室。</w:t>
      </w:r>
      <w:r>
        <w:rPr>
          <w:rFonts w:hint="default" w:ascii="Times New Roman" w:hAnsi="Times New Roman" w:eastAsia="仿宋" w:cs="Times New Roman"/>
          <w:sz w:val="30"/>
          <w:szCs w:val="30"/>
          <w:highlight w:val="none"/>
          <w:lang w:val="en-US" w:eastAsia="zh-CN"/>
        </w:rPr>
        <w:t>中共华宁县委机构编制委员会办公室信息统计中心为部门所属单位，未独立核算，所有收支统一并入中国共产党华宁县委员会机构编制委员会办公室，在部门决算中合并反映</w:t>
      </w:r>
      <w:r>
        <w:rPr>
          <w:rFonts w:hint="default" w:ascii="Times New Roman" w:hAnsi="Times New Roman" w:eastAsia="仿宋" w:cs="Times New Roman"/>
          <w:sz w:val="30"/>
          <w:szCs w:val="30"/>
          <w:highlight w:val="none"/>
          <w:lang w:val="zh-CN" w:eastAsia="zh-CN"/>
        </w:rPr>
        <w:t>。</w:t>
      </w:r>
    </w:p>
    <w:p w14:paraId="395421A8">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纳入我部门</w:t>
      </w: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部门决算编报的单位与我部门所属单位范围保持一致。</w:t>
      </w:r>
    </w:p>
    <w:p w14:paraId="64582B72">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方正楷体_GBK" w:hAnsi="方正楷体_GBK" w:eastAsia="方正楷体_GBK" w:cs="方正楷体_GBK"/>
          <w:sz w:val="30"/>
          <w:szCs w:val="30"/>
          <w:highlight w:val="none"/>
          <w:lang w:eastAsia="zh-CN"/>
        </w:rPr>
      </w:pPr>
      <w:r>
        <w:rPr>
          <w:rFonts w:hint="eastAsia" w:ascii="楷体" w:hAnsi="楷体" w:eastAsia="楷体" w:cs="楷体"/>
          <w:sz w:val="30"/>
          <w:szCs w:val="30"/>
          <w:highlight w:val="none"/>
          <w:lang w:val="en-US" w:eastAsia="zh-CN"/>
        </w:rPr>
        <w:t>（三）部门人员和车辆的编制及实有情况</w:t>
      </w:r>
    </w:p>
    <w:p w14:paraId="5674C0AC">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我部门</w:t>
      </w:r>
      <w:r>
        <w:rPr>
          <w:rFonts w:hint="default" w:ascii="Times New Roman" w:hAnsi="Times New Roman" w:eastAsia="仿宋" w:cs="Times New Roman"/>
          <w:sz w:val="30"/>
          <w:szCs w:val="30"/>
          <w:highlight w:val="none"/>
          <w:lang w:val="en-US" w:eastAsia="zh-CN"/>
        </w:rPr>
        <w:t>2025</w:t>
      </w:r>
      <w:r>
        <w:rPr>
          <w:rFonts w:hint="default" w:ascii="Times New Roman" w:hAnsi="Times New Roman" w:eastAsia="仿宋" w:cs="Times New Roman"/>
          <w:sz w:val="30"/>
          <w:szCs w:val="30"/>
          <w:highlight w:val="none"/>
          <w:lang w:val="zh-CN" w:eastAsia="zh-CN"/>
        </w:rPr>
        <w:t>年末编制内实有人员</w:t>
      </w:r>
      <w:r>
        <w:rPr>
          <w:rFonts w:hint="default" w:ascii="Times New Roman" w:hAnsi="Times New Roman" w:eastAsia="仿宋" w:cs="Times New Roman"/>
          <w:sz w:val="30"/>
          <w:szCs w:val="30"/>
          <w:highlight w:val="none"/>
          <w:lang w:val="en-US" w:eastAsia="zh-CN"/>
        </w:rPr>
        <w:t>9</w:t>
      </w:r>
      <w:r>
        <w:rPr>
          <w:rFonts w:hint="default" w:ascii="Times New Roman" w:hAnsi="Times New Roman" w:eastAsia="仿宋" w:cs="Times New Roman"/>
          <w:sz w:val="30"/>
          <w:szCs w:val="30"/>
          <w:highlight w:val="none"/>
          <w:lang w:val="zh-CN" w:eastAsia="zh-CN"/>
        </w:rPr>
        <w:t>人。包括财政拨款开支经费的：公务员</w:t>
      </w:r>
      <w:r>
        <w:rPr>
          <w:rFonts w:hint="default" w:ascii="Times New Roman" w:hAnsi="Times New Roman" w:eastAsia="仿宋" w:cs="Times New Roman"/>
          <w:sz w:val="30"/>
          <w:szCs w:val="30"/>
          <w:highlight w:val="none"/>
          <w:lang w:val="en-US" w:eastAsia="zh-CN"/>
        </w:rPr>
        <w:t>6</w:t>
      </w:r>
      <w:r>
        <w:rPr>
          <w:rFonts w:hint="default" w:ascii="Times New Roman" w:hAnsi="Times New Roman" w:eastAsia="仿宋" w:cs="Times New Roman"/>
          <w:sz w:val="30"/>
          <w:szCs w:val="30"/>
          <w:highlight w:val="none"/>
          <w:lang w:val="zh-CN" w:eastAsia="zh-CN"/>
        </w:rPr>
        <w:t>人，参照公务员法管理人员</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人，事业管理人员和专业技术人员</w:t>
      </w:r>
      <w:r>
        <w:rPr>
          <w:rFonts w:hint="default" w:ascii="Times New Roman" w:hAnsi="Times New Roman" w:eastAsia="仿宋" w:cs="Times New Roman"/>
          <w:sz w:val="30"/>
          <w:szCs w:val="30"/>
          <w:highlight w:val="none"/>
          <w:lang w:val="en-US" w:eastAsia="zh-CN"/>
        </w:rPr>
        <w:t>3</w:t>
      </w:r>
      <w:r>
        <w:rPr>
          <w:rFonts w:hint="default" w:ascii="Times New Roman" w:hAnsi="Times New Roman" w:eastAsia="仿宋" w:cs="Times New Roman"/>
          <w:sz w:val="30"/>
          <w:szCs w:val="30"/>
          <w:highlight w:val="none"/>
          <w:lang w:val="zh-CN" w:eastAsia="zh-CN"/>
        </w:rPr>
        <w:t>人，机关和事业工人</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人；经费自理人员</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w:t>
      </w:r>
    </w:p>
    <w:p w14:paraId="1F8D4139">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zh-CN" w:eastAsia="zh-CN"/>
        </w:rPr>
        <w:t>我部门</w:t>
      </w:r>
      <w:r>
        <w:rPr>
          <w:rFonts w:hint="default" w:ascii="Times New Roman" w:hAnsi="Times New Roman" w:eastAsia="仿宋" w:cs="Times New Roman"/>
          <w:sz w:val="30"/>
          <w:szCs w:val="30"/>
          <w:highlight w:val="none"/>
          <w:lang w:val="en-US" w:eastAsia="zh-CN"/>
        </w:rPr>
        <w:t>2025年末</w:t>
      </w:r>
      <w:r>
        <w:rPr>
          <w:rFonts w:hint="default" w:ascii="Times New Roman" w:hAnsi="Times New Roman" w:eastAsia="仿宋" w:cs="Times New Roman"/>
          <w:sz w:val="30"/>
          <w:szCs w:val="30"/>
          <w:highlight w:val="none"/>
          <w:lang w:val="zh-CN" w:eastAsia="zh-CN"/>
        </w:rPr>
        <w:t>其他人员</w:t>
      </w:r>
      <w:r>
        <w:rPr>
          <w:rFonts w:hint="default" w:ascii="Times New Roman" w:hAnsi="Times New Roman" w:eastAsia="仿宋" w:cs="Times New Roman"/>
          <w:sz w:val="30"/>
          <w:szCs w:val="30"/>
          <w:highlight w:val="none"/>
          <w:lang w:val="en-US" w:eastAsia="zh-CN"/>
        </w:rPr>
        <w:t>0人。包括财政拨款开支经费的人员0</w:t>
      </w:r>
      <w:r>
        <w:rPr>
          <w:rFonts w:hint="default" w:ascii="Times New Roman" w:hAnsi="Times New Roman" w:eastAsia="仿宋" w:cs="Times New Roman"/>
          <w:sz w:val="30"/>
          <w:szCs w:val="30"/>
          <w:highlight w:val="none"/>
          <w:lang w:val="zh-CN" w:eastAsia="zh-CN"/>
        </w:rPr>
        <w:t>人；经费自理人员</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w:t>
      </w:r>
    </w:p>
    <w:p w14:paraId="396EC86B">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年末单位发放离退休费的离退休人员共计</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人（离休</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人，退休</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人）。年末由养老保险基金发放养老金的离退休人员</w:t>
      </w:r>
      <w:r>
        <w:rPr>
          <w:rFonts w:hint="default" w:ascii="Times New Roman" w:hAnsi="Times New Roman" w:eastAsia="仿宋" w:cs="Times New Roman"/>
          <w:sz w:val="30"/>
          <w:szCs w:val="30"/>
          <w:highlight w:val="none"/>
          <w:lang w:val="en-US" w:eastAsia="zh-CN"/>
        </w:rPr>
        <w:t>1人</w:t>
      </w:r>
      <w:r>
        <w:rPr>
          <w:rFonts w:hint="default" w:ascii="Times New Roman" w:hAnsi="Times New Roman" w:eastAsia="仿宋" w:cs="Times New Roman"/>
          <w:sz w:val="30"/>
          <w:szCs w:val="30"/>
          <w:highlight w:val="none"/>
          <w:lang w:val="zh-CN" w:eastAsia="zh-CN"/>
        </w:rPr>
        <w:t>（离休</w:t>
      </w:r>
      <w:r>
        <w:rPr>
          <w:rFonts w:hint="default" w:ascii="Times New Roman" w:hAnsi="Times New Roman" w:eastAsia="仿宋" w:cs="Times New Roman"/>
          <w:sz w:val="30"/>
          <w:szCs w:val="30"/>
          <w:highlight w:val="none"/>
          <w:lang w:val="en-US" w:eastAsia="zh-CN"/>
        </w:rPr>
        <w:t>0</w:t>
      </w:r>
      <w:r>
        <w:rPr>
          <w:rFonts w:hint="default" w:ascii="Times New Roman" w:hAnsi="Times New Roman" w:eastAsia="仿宋" w:cs="Times New Roman"/>
          <w:sz w:val="30"/>
          <w:szCs w:val="30"/>
          <w:highlight w:val="none"/>
          <w:lang w:val="zh-CN" w:eastAsia="zh-CN"/>
        </w:rPr>
        <w:t>人，退休</w:t>
      </w:r>
      <w:r>
        <w:rPr>
          <w:rFonts w:hint="default" w:ascii="Times New Roman" w:hAnsi="Times New Roman" w:eastAsia="仿宋" w:cs="Times New Roman"/>
          <w:sz w:val="30"/>
          <w:szCs w:val="30"/>
          <w:highlight w:val="none"/>
          <w:lang w:val="en-US" w:eastAsia="zh-CN"/>
        </w:rPr>
        <w:t>1</w:t>
      </w:r>
      <w:r>
        <w:rPr>
          <w:rFonts w:hint="default" w:ascii="Times New Roman" w:hAnsi="Times New Roman" w:eastAsia="仿宋" w:cs="Times New Roman"/>
          <w:sz w:val="30"/>
          <w:szCs w:val="30"/>
          <w:highlight w:val="none"/>
          <w:lang w:val="zh-CN" w:eastAsia="zh-CN"/>
        </w:rPr>
        <w:t>人）。</w:t>
      </w:r>
    </w:p>
    <w:p w14:paraId="51C7A10C">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en-US" w:eastAsia="zh-CN"/>
        </w:rPr>
        <w:t>车辆编制0辆，在编实有车辆0辆，超编0辆。</w:t>
      </w:r>
    </w:p>
    <w:p w14:paraId="4EDAA5EC">
      <w:pPr>
        <w:keepNext w:val="0"/>
        <w:keepLines w:val="0"/>
        <w:pageBreakBefore w:val="0"/>
        <w:numPr>
          <w:ilvl w:val="0"/>
          <w:numId w:val="0"/>
        </w:numPr>
        <w:kinsoku/>
        <w:overflowPunct/>
        <w:topLinePunct w:val="0"/>
        <w:autoSpaceDE/>
        <w:autoSpaceDN/>
        <w:bidi w:val="0"/>
        <w:adjustRightInd w:val="0"/>
        <w:snapToGrid w:val="0"/>
        <w:spacing w:line="560" w:lineRule="exact"/>
        <w:ind w:firstLine="600" w:firstLineChars="200"/>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lang w:eastAsia="zh-CN"/>
        </w:rPr>
        <w:t>三、重点工作概述</w:t>
      </w:r>
    </w:p>
    <w:p w14:paraId="7CFED1E9">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eastAsia"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一是深入学习贯彻习近平新时代中国特色社会主义思想。坚持不懈用习近平新时代中国特色社会主义思想凝心铸魂，严格落实</w:t>
      </w:r>
      <w:r>
        <w:rPr>
          <w:rFonts w:hint="eastAsia" w:ascii="Times New Roman" w:hAnsi="Times New Roman" w:eastAsia="仿宋" w:cs="Times New Roman"/>
          <w:sz w:val="30"/>
          <w:szCs w:val="30"/>
          <w:highlight w:val="none"/>
          <w:lang w:val="zh-CN" w:eastAsia="zh-CN"/>
        </w:rPr>
        <w:t>“第一议题”制度、理论学习中心组学习制度，建立全面系统学、专题重点学、及时跟进学的长效机制。周密制定《习近平关于机构编制工作论述摘编》学习计划，认真读原著、学原文、悟原理，活学活用贯穿其中的立场观点方法。二是按照中央和省委、市委部署，在县委牵头和党建引领基层治理协调机制统筹下，我县坚持自下而上、因地制宜，组织各乡镇（街道）编制形成基本履职事项、配合履职事项、上级部门收回事项“三张清单”。</w:t>
      </w:r>
      <w:r>
        <w:rPr>
          <w:rFonts w:hint="default" w:ascii="Times New Roman" w:hAnsi="Times New Roman" w:eastAsia="仿宋" w:cs="Times New Roman"/>
          <w:sz w:val="30"/>
          <w:szCs w:val="30"/>
          <w:highlight w:val="none"/>
          <w:lang w:val="zh-CN" w:eastAsia="zh-CN"/>
        </w:rPr>
        <w:t>已于2025年6月底完成编制，7月底前印发公布。全县5个乡镇（街道）履职事项清单平均384项，其中基本履职144项、配合履职137项、上级收回事项103项。三是持续巩固脱贫攻坚成果，保持帮扶政策的稳定性和连续性，争取资金支持乡村振兴工作。加强对联系点的帮扶工作，2025年先后4次组织干部职工深入联系点走访调研，帮助解决实际困难，并选派1名优秀年轻干部全脱产到乡村振兴联系点海迤村委会驻村。</w:t>
      </w:r>
    </w:p>
    <w:p w14:paraId="501F6399">
      <w:pPr>
        <w:keepNext w:val="0"/>
        <w:keepLines w:val="0"/>
        <w:pageBreakBefore w:val="0"/>
        <w:widowControl w:val="0"/>
        <w:kinsoku/>
        <w:wordWrap/>
        <w:overflowPunct/>
        <w:topLinePunct w:val="0"/>
        <w:autoSpaceDE/>
        <w:autoSpaceDN/>
        <w:bidi w:val="0"/>
        <w:adjustRightInd w:val="0"/>
        <w:snapToGrid w:val="0"/>
        <w:spacing w:before="260" w:after="260" w:line="560" w:lineRule="exact"/>
        <w:jc w:val="center"/>
        <w:textAlignment w:val="auto"/>
        <w:outlineLvl w:val="0"/>
        <w:rPr>
          <w:rFonts w:hint="eastAsia" w:ascii="黑体" w:hAnsi="黑体" w:eastAsia="黑体"/>
          <w:sz w:val="32"/>
          <w:szCs w:val="32"/>
          <w:highlight w:val="none"/>
        </w:rPr>
      </w:pPr>
      <w:r>
        <w:rPr>
          <w:rFonts w:hint="eastAsia" w:ascii="黑体" w:hAnsi="黑体" w:eastAsia="黑体"/>
          <w:sz w:val="32"/>
          <w:szCs w:val="32"/>
          <w:highlight w:val="none"/>
        </w:rPr>
        <w:t xml:space="preserve">第二部分  </w:t>
      </w:r>
      <w:r>
        <w:rPr>
          <w:rFonts w:hint="eastAsia" w:ascii="黑体" w:hAnsi="黑体" w:eastAsia="黑体"/>
          <w:sz w:val="32"/>
          <w:szCs w:val="32"/>
          <w:highlight w:val="none"/>
          <w:lang w:val="en-US" w:eastAsia="zh-CN"/>
        </w:rPr>
        <w:t>2025年度</w:t>
      </w:r>
      <w:r>
        <w:rPr>
          <w:rFonts w:hint="eastAsia" w:ascii="黑体" w:hAnsi="黑体" w:eastAsia="黑体"/>
          <w:sz w:val="32"/>
          <w:szCs w:val="32"/>
          <w:highlight w:val="none"/>
        </w:rPr>
        <w:t>部门决算表</w:t>
      </w:r>
    </w:p>
    <w:p w14:paraId="2502C3E6">
      <w:pPr>
        <w:keepNext w:val="0"/>
        <w:keepLines w:val="0"/>
        <w:pageBreakBefore w:val="0"/>
        <w:widowControl/>
        <w:kinsoku/>
        <w:overflowPunct/>
        <w:topLinePunct w:val="0"/>
        <w:autoSpaceDE/>
        <w:autoSpaceDN/>
        <w:bidi w:val="0"/>
        <w:adjustRightInd w:val="0"/>
        <w:snapToGrid w:val="0"/>
        <w:spacing w:line="560" w:lineRule="exact"/>
        <w:jc w:val="center"/>
        <w:textAlignment w:val="auto"/>
        <w:rPr>
          <w:rFonts w:hint="eastAsia" w:ascii="Times New Roman" w:hAnsi="Times New Roman" w:eastAsia="仿宋" w:cs="Times New Roman"/>
          <w:sz w:val="30"/>
          <w:szCs w:val="30"/>
          <w:highlight w:val="none"/>
          <w:lang w:val="zh-CN" w:eastAsia="zh-CN"/>
        </w:rPr>
      </w:pPr>
      <w:r>
        <w:rPr>
          <w:rFonts w:hint="eastAsia" w:ascii="Times New Roman" w:hAnsi="Times New Roman" w:eastAsia="仿宋" w:cs="Times New Roman"/>
          <w:sz w:val="30"/>
          <w:szCs w:val="30"/>
          <w:highlight w:val="none"/>
          <w:lang w:val="zh-CN" w:eastAsia="zh-CN"/>
        </w:rPr>
        <w:t>（详见附件）</w:t>
      </w:r>
    </w:p>
    <w:p w14:paraId="7FCABBEB">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本部门</w:t>
      </w:r>
      <w:r>
        <w:rPr>
          <w:rFonts w:hint="default" w:ascii="Times New Roman" w:hAnsi="Times New Roman" w:eastAsia="仿宋" w:cs="Times New Roman"/>
          <w:sz w:val="30"/>
          <w:szCs w:val="30"/>
          <w:highlight w:val="none"/>
          <w:lang w:val="en-US" w:eastAsia="zh-CN"/>
        </w:rPr>
        <w:t>2025</w:t>
      </w:r>
      <w:r>
        <w:rPr>
          <w:rFonts w:hint="default" w:ascii="Times New Roman" w:hAnsi="Times New Roman" w:eastAsia="仿宋" w:cs="Times New Roman"/>
          <w:sz w:val="30"/>
          <w:szCs w:val="30"/>
          <w:highlight w:val="none"/>
          <w:lang w:val="zh-CN" w:eastAsia="zh-CN"/>
        </w:rPr>
        <w:t>年度无政府性基金预算财政拨款收入，《政府性基金预算财政拨款收入支出决算表》为空表。</w:t>
      </w:r>
    </w:p>
    <w:p w14:paraId="0CBF59A8">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eastAsia"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本部门</w:t>
      </w:r>
      <w:r>
        <w:rPr>
          <w:rFonts w:hint="default" w:ascii="Times New Roman" w:hAnsi="Times New Roman" w:eastAsia="仿宋" w:cs="Times New Roman"/>
          <w:sz w:val="30"/>
          <w:szCs w:val="30"/>
          <w:highlight w:val="none"/>
          <w:lang w:val="en-US" w:eastAsia="zh-CN"/>
        </w:rPr>
        <w:t>2025</w:t>
      </w:r>
      <w:r>
        <w:rPr>
          <w:rFonts w:hint="default" w:ascii="Times New Roman" w:hAnsi="Times New Roman" w:eastAsia="仿宋" w:cs="Times New Roman"/>
          <w:sz w:val="30"/>
          <w:szCs w:val="30"/>
          <w:highlight w:val="none"/>
          <w:lang w:val="zh-CN" w:eastAsia="zh-CN"/>
        </w:rPr>
        <w:t>年度无国有资本经营预算财政拨款收入，《国有资本经营预算财政拨款收入支出决算表》为空表。</w:t>
      </w:r>
    </w:p>
    <w:p w14:paraId="78FF536D">
      <w:pPr>
        <w:keepNext w:val="0"/>
        <w:keepLines w:val="0"/>
        <w:pageBreakBefore w:val="0"/>
        <w:widowControl w:val="0"/>
        <w:kinsoku/>
        <w:wordWrap/>
        <w:overflowPunct/>
        <w:topLinePunct w:val="0"/>
        <w:autoSpaceDE/>
        <w:autoSpaceDN/>
        <w:bidi w:val="0"/>
        <w:adjustRightInd w:val="0"/>
        <w:snapToGrid w:val="0"/>
        <w:spacing w:before="260" w:after="260" w:line="560" w:lineRule="exact"/>
        <w:jc w:val="center"/>
        <w:textAlignment w:val="auto"/>
        <w:outlineLvl w:val="0"/>
        <w:rPr>
          <w:rFonts w:hint="eastAsia" w:ascii="黑体" w:hAnsi="黑体" w:eastAsia="黑体"/>
          <w:sz w:val="32"/>
          <w:szCs w:val="32"/>
          <w:highlight w:val="none"/>
        </w:rPr>
      </w:pPr>
      <w:r>
        <w:rPr>
          <w:rFonts w:hint="eastAsia" w:ascii="黑体" w:hAnsi="黑体" w:eastAsia="黑体"/>
          <w:sz w:val="32"/>
          <w:szCs w:val="32"/>
          <w:highlight w:val="none"/>
        </w:rPr>
        <w:t>第三部</w:t>
      </w:r>
      <w:r>
        <w:rPr>
          <w:rFonts w:hint="eastAsia" w:ascii="黑体" w:hAnsi="黑体" w:eastAsia="黑体"/>
          <w:sz w:val="32"/>
          <w:szCs w:val="32"/>
          <w:highlight w:val="none"/>
          <w:lang w:eastAsia="zh-CN"/>
        </w:rPr>
        <w:t>分</w:t>
      </w:r>
      <w:r>
        <w:rPr>
          <w:rFonts w:hint="eastAsia" w:ascii="黑体" w:hAnsi="黑体" w:eastAsia="黑体"/>
          <w:sz w:val="32"/>
          <w:szCs w:val="32"/>
          <w:highlight w:val="none"/>
        </w:rPr>
        <w:t xml:space="preserve">  </w:t>
      </w:r>
      <w:r>
        <w:rPr>
          <w:rFonts w:hint="eastAsia" w:ascii="黑体" w:hAnsi="黑体" w:eastAsia="黑体"/>
          <w:sz w:val="32"/>
          <w:szCs w:val="32"/>
          <w:highlight w:val="none"/>
          <w:lang w:val="en-US" w:eastAsia="zh-CN"/>
        </w:rPr>
        <w:t>2025年度</w:t>
      </w:r>
      <w:r>
        <w:rPr>
          <w:rFonts w:hint="eastAsia" w:ascii="黑体" w:hAnsi="黑体" w:eastAsia="黑体"/>
          <w:sz w:val="32"/>
          <w:szCs w:val="32"/>
          <w:highlight w:val="none"/>
        </w:rPr>
        <w:t>部门决算情况说明</w:t>
      </w:r>
    </w:p>
    <w:p w14:paraId="7AFC48BD">
      <w:pPr>
        <w:keepNext w:val="0"/>
        <w:keepLines w:val="0"/>
        <w:pageBreakBefore w:val="0"/>
        <w:numPr>
          <w:ilvl w:val="0"/>
          <w:numId w:val="0"/>
        </w:numPr>
        <w:kinsoku/>
        <w:overflowPunct/>
        <w:topLinePunct w:val="0"/>
        <w:autoSpaceDE/>
        <w:autoSpaceDN/>
        <w:bidi w:val="0"/>
        <w:adjustRightInd w:val="0"/>
        <w:snapToGrid w:val="0"/>
        <w:spacing w:line="560" w:lineRule="exact"/>
        <w:ind w:firstLine="600" w:firstLineChars="200"/>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lang w:eastAsia="zh-CN"/>
        </w:rPr>
        <w:t>一、收入决算情况说明</w:t>
      </w:r>
    </w:p>
    <w:p w14:paraId="4C9D5D7C">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收入合计1383652.73元。其中：财政拨款收入1383652.73元，占总收入的100.00%；无上级补助收入；无事业收入（含教育收费）；无经营收入；无附属单位上缴收入；无其他收入。</w:t>
      </w:r>
    </w:p>
    <w:p w14:paraId="3EDCB606">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与上年相比，收入合计增加316174.75元，增长29.62%。其中：财政拨款收入增加316174.75元，增长29.62%。主要原因是</w:t>
      </w:r>
      <w:r>
        <w:rPr>
          <w:rFonts w:hint="default" w:ascii="Times New Roman" w:hAnsi="Times New Roman" w:eastAsia="仿宋" w:cs="Times New Roman"/>
          <w:sz w:val="30"/>
          <w:szCs w:val="30"/>
          <w:highlight w:val="none"/>
          <w:lang w:val="en-US" w:eastAsia="zh-CN"/>
        </w:rPr>
        <w:t>2025年我单位增加3人</w:t>
      </w:r>
      <w:r>
        <w:rPr>
          <w:rFonts w:hint="default" w:ascii="Times New Roman" w:hAnsi="Times New Roman" w:eastAsia="仿宋" w:cs="Times New Roman"/>
          <w:sz w:val="30"/>
          <w:szCs w:val="30"/>
          <w:highlight w:val="none"/>
          <w:lang w:val="zh-CN" w:eastAsia="zh-CN"/>
        </w:rPr>
        <w:t>。</w:t>
      </w:r>
    </w:p>
    <w:p w14:paraId="1F00400E">
      <w:pPr>
        <w:keepNext w:val="0"/>
        <w:keepLines w:val="0"/>
        <w:pageBreakBefore w:val="0"/>
        <w:numPr>
          <w:ilvl w:val="0"/>
          <w:numId w:val="0"/>
        </w:numPr>
        <w:kinsoku/>
        <w:overflowPunct/>
        <w:topLinePunct w:val="0"/>
        <w:autoSpaceDE/>
        <w:autoSpaceDN/>
        <w:bidi w:val="0"/>
        <w:adjustRightInd w:val="0"/>
        <w:snapToGrid w:val="0"/>
        <w:spacing w:line="560" w:lineRule="exact"/>
        <w:ind w:firstLine="600" w:firstLineChars="200"/>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lang w:eastAsia="zh-CN"/>
        </w:rPr>
        <w:t>二、支出决算情况说明</w:t>
      </w:r>
    </w:p>
    <w:p w14:paraId="10C7C1AF">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2025年度支出合计</w:t>
      </w:r>
      <w:r>
        <w:rPr>
          <w:rFonts w:hint="default" w:ascii="Times New Roman" w:hAnsi="Times New Roman" w:eastAsia="仿宋" w:cs="Times New Roman"/>
          <w:sz w:val="30"/>
          <w:szCs w:val="30"/>
          <w:highlight w:val="none"/>
          <w:lang w:val="zh-CN" w:eastAsia="zh-CN"/>
        </w:rPr>
        <w:t>1383652.73</w:t>
      </w:r>
      <w:r>
        <w:rPr>
          <w:rFonts w:hint="default" w:ascii="Times New Roman" w:hAnsi="Times New Roman" w:eastAsia="仿宋" w:cs="Times New Roman"/>
          <w:sz w:val="30"/>
          <w:szCs w:val="30"/>
          <w:highlight w:val="none"/>
          <w:lang w:val="en-US" w:eastAsia="zh-CN"/>
        </w:rPr>
        <w:t>元。其中：基本支出</w:t>
      </w:r>
      <w:r>
        <w:rPr>
          <w:rFonts w:hint="default" w:ascii="Times New Roman" w:hAnsi="Times New Roman" w:eastAsia="仿宋" w:cs="Times New Roman"/>
          <w:sz w:val="30"/>
          <w:szCs w:val="30"/>
          <w:highlight w:val="none"/>
          <w:lang w:val="zh-CN" w:eastAsia="zh-CN"/>
        </w:rPr>
        <w:t>1347000.33</w:t>
      </w:r>
      <w:r>
        <w:rPr>
          <w:rFonts w:hint="default" w:ascii="Times New Roman" w:hAnsi="Times New Roman" w:eastAsia="仿宋" w:cs="Times New Roman"/>
          <w:sz w:val="30"/>
          <w:szCs w:val="30"/>
          <w:highlight w:val="none"/>
          <w:lang w:val="en-US" w:eastAsia="zh-CN"/>
        </w:rPr>
        <w:t>元，占总支出的</w:t>
      </w:r>
      <w:r>
        <w:rPr>
          <w:rFonts w:hint="default" w:ascii="Times New Roman" w:hAnsi="Times New Roman" w:eastAsia="仿宋" w:cs="Times New Roman"/>
          <w:sz w:val="30"/>
          <w:szCs w:val="30"/>
          <w:highlight w:val="none"/>
          <w:lang w:val="zh-CN" w:eastAsia="zh-CN"/>
        </w:rPr>
        <w:t>97.35</w:t>
      </w:r>
      <w:r>
        <w:rPr>
          <w:rFonts w:hint="default" w:ascii="Times New Roman" w:hAnsi="Times New Roman" w:eastAsia="仿宋" w:cs="Times New Roman"/>
          <w:sz w:val="30"/>
          <w:szCs w:val="30"/>
          <w:highlight w:val="none"/>
          <w:lang w:val="en-US" w:eastAsia="zh-CN"/>
        </w:rPr>
        <w:t>％；项目支出</w:t>
      </w:r>
      <w:r>
        <w:rPr>
          <w:rFonts w:hint="default" w:ascii="Times New Roman" w:hAnsi="Times New Roman" w:eastAsia="仿宋" w:cs="Times New Roman"/>
          <w:sz w:val="30"/>
          <w:szCs w:val="30"/>
          <w:highlight w:val="none"/>
          <w:lang w:val="zh-CN" w:eastAsia="zh-CN"/>
        </w:rPr>
        <w:t>36652.40</w:t>
      </w:r>
      <w:r>
        <w:rPr>
          <w:rFonts w:hint="default" w:ascii="Times New Roman" w:hAnsi="Times New Roman" w:eastAsia="仿宋" w:cs="Times New Roman"/>
          <w:sz w:val="30"/>
          <w:szCs w:val="30"/>
          <w:highlight w:val="none"/>
          <w:lang w:val="en-US" w:eastAsia="zh-CN"/>
        </w:rPr>
        <w:t>元，占总支出的</w:t>
      </w:r>
      <w:r>
        <w:rPr>
          <w:rFonts w:hint="default" w:ascii="Times New Roman" w:hAnsi="Times New Roman" w:eastAsia="仿宋" w:cs="Times New Roman"/>
          <w:sz w:val="30"/>
          <w:szCs w:val="30"/>
          <w:highlight w:val="none"/>
          <w:lang w:val="zh-CN" w:eastAsia="zh-CN"/>
        </w:rPr>
        <w:t>2.65</w:t>
      </w:r>
      <w:r>
        <w:rPr>
          <w:rFonts w:hint="default" w:ascii="Times New Roman" w:hAnsi="Times New Roman" w:eastAsia="仿宋" w:cs="Times New Roman"/>
          <w:sz w:val="30"/>
          <w:szCs w:val="30"/>
          <w:highlight w:val="none"/>
          <w:lang w:val="en-US" w:eastAsia="zh-CN"/>
        </w:rPr>
        <w:t>％；无上缴上级支出；无经营支出；无对附属单位补助支出。</w:t>
      </w:r>
    </w:p>
    <w:p w14:paraId="18A81692">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与上年相比，支出合计增加</w:t>
      </w:r>
      <w:r>
        <w:rPr>
          <w:rFonts w:hint="default" w:ascii="Times New Roman" w:hAnsi="Times New Roman" w:eastAsia="仿宋" w:cs="Times New Roman"/>
          <w:sz w:val="30"/>
          <w:szCs w:val="30"/>
          <w:highlight w:val="none"/>
          <w:lang w:val="zh-CN" w:eastAsia="zh-CN"/>
        </w:rPr>
        <w:t>316174.75</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29.62</w:t>
      </w:r>
      <w:r>
        <w:rPr>
          <w:rFonts w:hint="default" w:ascii="Times New Roman" w:hAnsi="Times New Roman" w:eastAsia="仿宋" w:cs="Times New Roman"/>
          <w:sz w:val="30"/>
          <w:szCs w:val="30"/>
          <w:highlight w:val="none"/>
          <w:lang w:val="en-US" w:eastAsia="zh-CN"/>
        </w:rPr>
        <w:t>%。其中：基本支出增加</w:t>
      </w:r>
      <w:r>
        <w:rPr>
          <w:rFonts w:hint="default" w:ascii="Times New Roman" w:hAnsi="Times New Roman" w:eastAsia="仿宋" w:cs="Times New Roman"/>
          <w:sz w:val="30"/>
          <w:szCs w:val="30"/>
          <w:highlight w:val="none"/>
          <w:lang w:val="zh-CN" w:eastAsia="zh-CN"/>
        </w:rPr>
        <w:t>288958.35</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27.31</w:t>
      </w:r>
      <w:r>
        <w:rPr>
          <w:rFonts w:hint="default" w:ascii="Times New Roman" w:hAnsi="Times New Roman" w:eastAsia="仿宋" w:cs="Times New Roman"/>
          <w:sz w:val="30"/>
          <w:szCs w:val="30"/>
          <w:highlight w:val="none"/>
          <w:lang w:val="en-US" w:eastAsia="zh-CN"/>
        </w:rPr>
        <w:t>%，主要原因是2025年我单位增加3人；项目支出增加</w:t>
      </w:r>
      <w:r>
        <w:rPr>
          <w:rFonts w:hint="default" w:ascii="Times New Roman" w:hAnsi="Times New Roman" w:eastAsia="仿宋" w:cs="Times New Roman"/>
          <w:sz w:val="30"/>
          <w:szCs w:val="30"/>
          <w:highlight w:val="none"/>
          <w:lang w:val="zh-CN" w:eastAsia="zh-CN"/>
        </w:rPr>
        <w:t>27216.40</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288.43</w:t>
      </w:r>
      <w:r>
        <w:rPr>
          <w:rFonts w:hint="default" w:ascii="Times New Roman" w:hAnsi="Times New Roman" w:eastAsia="仿宋" w:cs="Times New Roman"/>
          <w:sz w:val="30"/>
          <w:szCs w:val="30"/>
          <w:highlight w:val="none"/>
          <w:lang w:val="en-US" w:eastAsia="zh-CN"/>
        </w:rPr>
        <w:t>%，主要原因是因开展全县机关赋码和事业单位登记管理工作需要购置了一台多功能数码复合机。</w:t>
      </w:r>
    </w:p>
    <w:p w14:paraId="0D00953F">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sz w:val="30"/>
          <w:szCs w:val="30"/>
          <w:highlight w:val="none"/>
        </w:rPr>
      </w:pPr>
      <w:r>
        <w:rPr>
          <w:rFonts w:hint="eastAsia" w:ascii="楷体" w:hAnsi="楷体" w:eastAsia="楷体" w:cs="楷体"/>
          <w:sz w:val="30"/>
          <w:szCs w:val="30"/>
          <w:highlight w:val="none"/>
          <w:lang w:val="en-US" w:eastAsia="zh-CN"/>
        </w:rPr>
        <w:t>（一）基本支出情况</w:t>
      </w:r>
    </w:p>
    <w:p w14:paraId="7ECDBB5A">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2025年度用于保障</w:t>
      </w: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机关、下属事业单位等机构正常运转的日常支出</w:t>
      </w:r>
      <w:r>
        <w:rPr>
          <w:rFonts w:hint="default" w:ascii="Times New Roman" w:hAnsi="Times New Roman" w:eastAsia="仿宋" w:cs="Times New Roman"/>
          <w:sz w:val="30"/>
          <w:szCs w:val="30"/>
          <w:highlight w:val="none"/>
          <w:lang w:val="zh-CN" w:eastAsia="zh-CN"/>
        </w:rPr>
        <w:t>1347000.33</w:t>
      </w:r>
      <w:r>
        <w:rPr>
          <w:rFonts w:hint="default" w:ascii="Times New Roman" w:hAnsi="Times New Roman" w:eastAsia="仿宋" w:cs="Times New Roman"/>
          <w:sz w:val="30"/>
          <w:szCs w:val="30"/>
          <w:highlight w:val="none"/>
          <w:lang w:val="en-US" w:eastAsia="zh-CN"/>
        </w:rPr>
        <w:t>元。其中：基本工资、津贴补贴等人员经费支出</w:t>
      </w:r>
      <w:r>
        <w:rPr>
          <w:rFonts w:hint="default" w:ascii="Times New Roman" w:hAnsi="Times New Roman" w:eastAsia="仿宋" w:cs="Times New Roman"/>
          <w:sz w:val="30"/>
          <w:szCs w:val="30"/>
          <w:highlight w:val="none"/>
          <w:lang w:val="zh-CN" w:eastAsia="zh-CN"/>
        </w:rPr>
        <w:t>1245933.58</w:t>
      </w:r>
      <w:r>
        <w:rPr>
          <w:rFonts w:hint="default" w:ascii="Times New Roman" w:hAnsi="Times New Roman" w:eastAsia="仿宋" w:cs="Times New Roman"/>
          <w:sz w:val="30"/>
          <w:szCs w:val="30"/>
          <w:highlight w:val="none"/>
          <w:lang w:val="en-US" w:eastAsia="zh-CN"/>
        </w:rPr>
        <w:t>元，占基本支出的</w:t>
      </w:r>
      <w:r>
        <w:rPr>
          <w:rFonts w:hint="default" w:ascii="Times New Roman" w:hAnsi="Times New Roman" w:eastAsia="仿宋" w:cs="Times New Roman"/>
          <w:sz w:val="30"/>
          <w:szCs w:val="30"/>
          <w:highlight w:val="none"/>
          <w:lang w:val="zh-CN" w:eastAsia="zh-CN"/>
        </w:rPr>
        <w:t>92.50</w:t>
      </w:r>
      <w:r>
        <w:rPr>
          <w:rFonts w:hint="default" w:ascii="Times New Roman" w:hAnsi="Times New Roman" w:eastAsia="仿宋" w:cs="Times New Roman"/>
          <w:sz w:val="30"/>
          <w:szCs w:val="30"/>
          <w:highlight w:val="none"/>
          <w:lang w:val="en-US" w:eastAsia="zh-CN"/>
        </w:rPr>
        <w:t>％；办公费、印刷费、水电费、办公设备购置等公用经费</w:t>
      </w:r>
      <w:r>
        <w:rPr>
          <w:rFonts w:hint="default" w:ascii="Times New Roman" w:hAnsi="Times New Roman" w:eastAsia="仿宋" w:cs="Times New Roman"/>
          <w:sz w:val="30"/>
          <w:szCs w:val="30"/>
          <w:highlight w:val="none"/>
          <w:lang w:val="zh-CN" w:eastAsia="zh-CN"/>
        </w:rPr>
        <w:t>101066.75</w:t>
      </w:r>
      <w:r>
        <w:rPr>
          <w:rFonts w:hint="default" w:ascii="Times New Roman" w:hAnsi="Times New Roman" w:eastAsia="仿宋" w:cs="Times New Roman"/>
          <w:sz w:val="30"/>
          <w:szCs w:val="30"/>
          <w:highlight w:val="none"/>
          <w:lang w:val="en-US" w:eastAsia="zh-CN"/>
        </w:rPr>
        <w:t>元，占基本支出的</w:t>
      </w:r>
      <w:r>
        <w:rPr>
          <w:rFonts w:hint="default" w:ascii="Times New Roman" w:hAnsi="Times New Roman" w:eastAsia="仿宋" w:cs="Times New Roman"/>
          <w:sz w:val="30"/>
          <w:szCs w:val="30"/>
          <w:highlight w:val="none"/>
          <w:lang w:val="zh-CN" w:eastAsia="zh-CN"/>
        </w:rPr>
        <w:t>7.50</w:t>
      </w:r>
      <w:r>
        <w:rPr>
          <w:rFonts w:hint="default" w:ascii="Times New Roman" w:hAnsi="Times New Roman" w:eastAsia="仿宋" w:cs="Times New Roman"/>
          <w:sz w:val="30"/>
          <w:szCs w:val="30"/>
          <w:highlight w:val="none"/>
          <w:lang w:val="en-US" w:eastAsia="zh-CN"/>
        </w:rPr>
        <w:t>％。</w:t>
      </w:r>
    </w:p>
    <w:p w14:paraId="72AC381D">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（二）项目支出情况</w:t>
      </w:r>
    </w:p>
    <w:p w14:paraId="4FB6E932">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用于保障中国共产党华宁县委员会机构编制委员会办公室机关、下属事业单位等机构为完成特定的行政工作任务或事业发展目标，用于专项业务工作的经费支出36652.40元。其中：基本建设类项目支出0.00元。</w:t>
      </w:r>
    </w:p>
    <w:p w14:paraId="0ECE82A4">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党政群机关赋码及事业单位登记管理工作经费28500.00元，主要用于购置了一台多功能数码复合机开展全县机关赋码和事业单位登记管理工作。</w:t>
      </w:r>
    </w:p>
    <w:p w14:paraId="550485CE">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重点领域体制机制改革工作经费8125.40元，主要用于开展机构编制专项工作支出。</w:t>
      </w:r>
    </w:p>
    <w:p w14:paraId="49456D0E">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方正黑体_GBK" w:hAnsi="方正黑体_GBK" w:eastAsia="方正黑体_GBK" w:cs="方正黑体_GBK"/>
          <w:sz w:val="30"/>
          <w:szCs w:val="30"/>
          <w:highlight w:val="none"/>
        </w:rPr>
      </w:pPr>
      <w:r>
        <w:rPr>
          <w:rFonts w:hint="eastAsia" w:ascii="黑体" w:hAnsi="黑体" w:eastAsia="黑体" w:cs="黑体"/>
          <w:sz w:val="30"/>
          <w:szCs w:val="30"/>
          <w:highlight w:val="none"/>
          <w:lang w:eastAsia="zh-CN"/>
        </w:rPr>
        <w:t>三、一般公共预算财政拨款支出决算情况说明</w:t>
      </w:r>
    </w:p>
    <w:p w14:paraId="7C27D835">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方正楷体_GBK" w:hAnsi="方正楷体_GBK" w:eastAsia="方正楷体_GBK" w:cs="方正楷体_GBK"/>
          <w:sz w:val="30"/>
          <w:szCs w:val="30"/>
          <w:highlight w:val="none"/>
          <w:lang w:eastAsia="zh-CN"/>
        </w:rPr>
      </w:pPr>
      <w:r>
        <w:rPr>
          <w:rFonts w:hint="eastAsia" w:ascii="楷体" w:hAnsi="楷体" w:eastAsia="楷体" w:cs="楷体"/>
          <w:sz w:val="30"/>
          <w:szCs w:val="30"/>
          <w:highlight w:val="none"/>
          <w:lang w:val="en-US" w:eastAsia="zh-CN"/>
        </w:rPr>
        <w:t>（一）一般公共预算财政拨款支出决算总体情况</w:t>
      </w:r>
    </w:p>
    <w:p w14:paraId="4A302C71">
      <w:pPr>
        <w:keepNext w:val="0"/>
        <w:keepLines w:val="0"/>
        <w:pageBreakBefore w:val="0"/>
        <w:widowControl/>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kern w:val="0"/>
          <w:sz w:val="30"/>
          <w:szCs w:val="30"/>
          <w:highlight w:val="none"/>
        </w:rPr>
      </w:pP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2025年度一般公共预算财政拨款支出</w:t>
      </w:r>
      <w:r>
        <w:rPr>
          <w:rFonts w:hint="default" w:ascii="Times New Roman" w:hAnsi="Times New Roman" w:eastAsia="仿宋" w:cs="Times New Roman"/>
          <w:sz w:val="30"/>
          <w:szCs w:val="30"/>
          <w:highlight w:val="none"/>
          <w:lang w:val="zh-CN" w:eastAsia="zh-CN"/>
        </w:rPr>
        <w:t>1383652.73</w:t>
      </w:r>
      <w:r>
        <w:rPr>
          <w:rFonts w:hint="default" w:ascii="Times New Roman" w:hAnsi="Times New Roman" w:eastAsia="仿宋" w:cs="Times New Roman"/>
          <w:sz w:val="30"/>
          <w:szCs w:val="30"/>
          <w:highlight w:val="none"/>
          <w:lang w:val="en-US" w:eastAsia="zh-CN"/>
        </w:rPr>
        <w:t>元，占本年支出合计的</w:t>
      </w:r>
      <w:r>
        <w:rPr>
          <w:rFonts w:hint="default" w:ascii="Times New Roman" w:hAnsi="Times New Roman" w:eastAsia="仿宋" w:cs="Times New Roman"/>
          <w:sz w:val="30"/>
          <w:szCs w:val="30"/>
          <w:highlight w:val="none"/>
          <w:lang w:val="zh-CN" w:eastAsia="zh-CN"/>
        </w:rPr>
        <w:t>100.00</w:t>
      </w:r>
      <w:r>
        <w:rPr>
          <w:rFonts w:hint="default" w:ascii="Times New Roman" w:hAnsi="Times New Roman" w:eastAsia="仿宋" w:cs="Times New Roman"/>
          <w:sz w:val="30"/>
          <w:szCs w:val="30"/>
          <w:highlight w:val="none"/>
          <w:lang w:val="en-US" w:eastAsia="zh-CN"/>
        </w:rPr>
        <w:t>%。与上年相比增加</w:t>
      </w:r>
      <w:r>
        <w:rPr>
          <w:rFonts w:hint="default" w:ascii="Times New Roman" w:hAnsi="Times New Roman" w:eastAsia="仿宋" w:cs="Times New Roman"/>
          <w:sz w:val="30"/>
          <w:szCs w:val="30"/>
          <w:highlight w:val="none"/>
          <w:lang w:val="zh-CN" w:eastAsia="zh-CN"/>
        </w:rPr>
        <w:t>316174.75</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29.62</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118.98</w:t>
      </w:r>
      <w:r>
        <w:rPr>
          <w:rFonts w:hint="default" w:ascii="Times New Roman" w:hAnsi="Times New Roman" w:eastAsia="仿宋" w:cs="Times New Roman"/>
          <w:sz w:val="30"/>
          <w:szCs w:val="30"/>
          <w:highlight w:val="none"/>
          <w:lang w:val="en-US" w:eastAsia="zh-CN"/>
        </w:rPr>
        <w:t>%</w:t>
      </w:r>
      <w:r>
        <w:rPr>
          <w:rFonts w:hint="default" w:ascii="Times New Roman" w:hAnsi="Times New Roman" w:eastAsia="仿宋" w:cs="Times New Roman"/>
          <w:kern w:val="0"/>
          <w:sz w:val="30"/>
          <w:szCs w:val="30"/>
          <w:highlight w:val="none"/>
        </w:rPr>
        <w:t>。</w:t>
      </w:r>
    </w:p>
    <w:p w14:paraId="5D70C0F3">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sz w:val="30"/>
          <w:szCs w:val="30"/>
          <w:highlight w:val="none"/>
        </w:rPr>
      </w:pPr>
      <w:r>
        <w:rPr>
          <w:rFonts w:hint="eastAsia" w:ascii="楷体" w:hAnsi="楷体" w:eastAsia="楷体" w:cs="楷体"/>
          <w:sz w:val="30"/>
          <w:szCs w:val="30"/>
          <w:highlight w:val="none"/>
          <w:lang w:val="en-US" w:eastAsia="zh-CN"/>
        </w:rPr>
        <w:t>（二）一般公共预算财政拨款支出决算分功能分类科目情况</w:t>
      </w:r>
      <w:r>
        <w:rPr>
          <w:rFonts w:hint="eastAsia" w:ascii="楷体" w:hAnsi="楷体" w:eastAsia="楷体"/>
          <w:sz w:val="30"/>
          <w:szCs w:val="30"/>
          <w:highlight w:val="none"/>
        </w:rPr>
        <w:tab/>
      </w:r>
    </w:p>
    <w:p w14:paraId="710A8D9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1.一般公共服务（类）支出</w:t>
      </w:r>
      <w:r>
        <w:rPr>
          <w:rFonts w:hint="default" w:ascii="Times New Roman" w:hAnsi="Times New Roman" w:eastAsia="仿宋" w:cs="Times New Roman"/>
          <w:sz w:val="30"/>
          <w:szCs w:val="30"/>
          <w:highlight w:val="none"/>
          <w:lang w:val="zh-CN" w:eastAsia="zh-CN"/>
        </w:rPr>
        <w:t>1014137.15</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73.29</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117.82</w:t>
      </w:r>
      <w:r>
        <w:rPr>
          <w:rFonts w:hint="default" w:ascii="Times New Roman" w:hAnsi="Times New Roman" w:eastAsia="仿宋" w:cs="Times New Roman"/>
          <w:sz w:val="30"/>
          <w:szCs w:val="30"/>
          <w:highlight w:val="none"/>
          <w:lang w:val="en-US" w:eastAsia="zh-CN"/>
        </w:rPr>
        <w:t>%。主要用于单位基本支出和项目支出；造成预决算差异的主要原因是人员变动导致人员经费增加。</w:t>
      </w:r>
    </w:p>
    <w:p w14:paraId="1C120DE3">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2.外交（类）支出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0DB4CD57">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3.国防（类）支出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4C413F5D">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4.公共安全（类）支出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7A85BAB3">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5.教育（类）支出0.00元，占一般公共预算财政拨款总支出的0.00%</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1CFCD61E">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6.科学技术（类）支出0.00元，占一般公共预算财政拨款总支出的0.00%</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16566E6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7.文化旅游体育与传媒（类）支出0.00元，占一般公共预算财政拨款总支出的0.00%</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7A3DBEA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8.社会保障和就业（类）支出187239.29元，占一般公共预算财政拨款总支出的13.53%</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156.81</w:t>
      </w:r>
      <w:r>
        <w:rPr>
          <w:rFonts w:hint="default" w:ascii="Times New Roman" w:hAnsi="Times New Roman" w:eastAsia="仿宋" w:cs="Times New Roman"/>
          <w:sz w:val="30"/>
          <w:szCs w:val="30"/>
          <w:highlight w:val="none"/>
          <w:lang w:val="en-US" w:eastAsia="zh-CN"/>
        </w:rPr>
        <w:t>%。主要用于支付单位干部职工养老保险等；造成预决算差异的主要原因是人员变动。</w:t>
      </w:r>
    </w:p>
    <w:p w14:paraId="4B771B1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9.卫生健康（类）支出</w:t>
      </w:r>
      <w:r>
        <w:rPr>
          <w:rFonts w:hint="default" w:ascii="Times New Roman" w:hAnsi="Times New Roman" w:eastAsia="仿宋" w:cs="Times New Roman"/>
          <w:sz w:val="30"/>
          <w:szCs w:val="30"/>
          <w:highlight w:val="none"/>
          <w:lang w:val="zh-CN" w:eastAsia="zh-CN"/>
        </w:rPr>
        <w:t>91350.29</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6.60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102.89</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主要用于支付单位干部职工医疗保险、公务员医疗补助、工伤保险、大病保险；造成预决算差异的主要原因是人员变动。</w:t>
      </w:r>
    </w:p>
    <w:p w14:paraId="5F03F4A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10.节能环保（类）支出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1E8C82E2">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11.城乡社区（类）支出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469327E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12.农林水（类）支出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33B17B37">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13.交通运输（类）支出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2D916F7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14.资源勘探工业信息等（类）支出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53D9A187">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15.商业服务业等（类）支出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67029591">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16.金融（类）支出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049EA62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17.援助其他地区（类）支出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7C25B42E">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18.自然资源海洋气象等（类）支出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7CDC7565">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19.住房保障（类）支出</w:t>
      </w:r>
      <w:r>
        <w:rPr>
          <w:rFonts w:hint="default" w:ascii="Times New Roman" w:hAnsi="Times New Roman" w:eastAsia="仿宋" w:cs="Times New Roman"/>
          <w:sz w:val="30"/>
          <w:szCs w:val="30"/>
          <w:highlight w:val="none"/>
          <w:lang w:val="zh-CN" w:eastAsia="zh-CN"/>
        </w:rPr>
        <w:t>90926.00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6.57</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96.77</w:t>
      </w:r>
      <w:r>
        <w:rPr>
          <w:rFonts w:hint="default" w:ascii="Times New Roman" w:hAnsi="Times New Roman" w:eastAsia="仿宋" w:cs="Times New Roman"/>
          <w:sz w:val="30"/>
          <w:szCs w:val="30"/>
          <w:highlight w:val="none"/>
          <w:lang w:val="en-US" w:eastAsia="zh-CN"/>
        </w:rPr>
        <w:t>%。主要用于支付单位干部职工公积金；造成预决算差异的主要原因是人员变动。</w:t>
      </w:r>
    </w:p>
    <w:p w14:paraId="65578681">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20.粮油物资储备（类）支出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434D707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21.国有资本经营预算（类）支出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715A3383">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22.灾害防治及应急管理（类）支出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0EC88E8F">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23.其他（类）支出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51E0E8C5">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24.债务还本（类）支出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576769E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25.债务付息（类）支出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57A9BCB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26.抗疫特别国债安排（类）支出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元，占一般公共预算财政拨款总支出的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年初无此项预算。</w:t>
      </w:r>
    </w:p>
    <w:p w14:paraId="4D838E1F">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方正黑体_GBK" w:hAnsi="方正黑体_GBK" w:eastAsia="方正黑体_GBK" w:cs="方正黑体_GBK"/>
          <w:sz w:val="30"/>
          <w:szCs w:val="30"/>
          <w:highlight w:val="none"/>
        </w:rPr>
      </w:pPr>
      <w:r>
        <w:rPr>
          <w:rFonts w:hint="eastAsia" w:ascii="黑体" w:hAnsi="黑体" w:eastAsia="黑体" w:cs="黑体"/>
          <w:sz w:val="30"/>
          <w:szCs w:val="30"/>
          <w:highlight w:val="none"/>
          <w:lang w:eastAsia="zh-CN"/>
        </w:rPr>
        <w:t>四、财政拨款“三公”经费支出决算情况说明</w:t>
      </w:r>
    </w:p>
    <w:p w14:paraId="286EEBD1">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outlineLvl w:val="2"/>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（一）总体情况</w:t>
      </w:r>
    </w:p>
    <w:p w14:paraId="2D954553">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2025年度财政</w:t>
      </w:r>
      <w:r>
        <w:rPr>
          <w:rFonts w:hint="eastAsia" w:ascii="Times New Roman" w:hAnsi="Times New Roman" w:eastAsia="仿宋" w:cs="Times New Roman"/>
          <w:sz w:val="30"/>
          <w:szCs w:val="30"/>
          <w:highlight w:val="none"/>
          <w:lang w:val="en-US" w:eastAsia="zh-CN"/>
        </w:rPr>
        <w:t>拨款“三公”经费支出决算中，财政拨款“三公”经</w:t>
      </w:r>
      <w:r>
        <w:rPr>
          <w:rFonts w:hint="default" w:ascii="Times New Roman" w:hAnsi="Times New Roman" w:eastAsia="仿宋" w:cs="Times New Roman"/>
          <w:sz w:val="30"/>
          <w:szCs w:val="30"/>
          <w:highlight w:val="none"/>
          <w:lang w:val="en-US" w:eastAsia="zh-CN"/>
        </w:rPr>
        <w:t>费支出年初预算为4200.00元，决算为</w:t>
      </w:r>
      <w:r>
        <w:rPr>
          <w:rFonts w:hint="default" w:ascii="Times New Roman" w:hAnsi="Times New Roman" w:eastAsia="仿宋" w:cs="Times New Roman"/>
          <w:sz w:val="30"/>
          <w:szCs w:val="30"/>
          <w:highlight w:val="none"/>
          <w:lang w:val="zh-CN" w:eastAsia="zh-CN"/>
        </w:rPr>
        <w:t>1110.00</w:t>
      </w:r>
      <w:r>
        <w:rPr>
          <w:rFonts w:hint="default" w:ascii="Times New Roman" w:hAnsi="Times New Roman" w:eastAsia="仿宋" w:cs="Times New Roman"/>
          <w:sz w:val="30"/>
          <w:szCs w:val="30"/>
          <w:highlight w:val="none"/>
          <w:lang w:val="en-US" w:eastAsia="zh-CN"/>
        </w:rPr>
        <w:t>元，完成年初预算的</w:t>
      </w:r>
      <w:r>
        <w:rPr>
          <w:rFonts w:hint="default" w:ascii="Times New Roman" w:hAnsi="Times New Roman" w:eastAsia="仿宋" w:cs="Times New Roman"/>
          <w:sz w:val="30"/>
          <w:szCs w:val="30"/>
          <w:highlight w:val="none"/>
          <w:lang w:val="zh-CN" w:eastAsia="zh-CN"/>
        </w:rPr>
        <w:t>26.43</w:t>
      </w:r>
      <w:r>
        <w:rPr>
          <w:rFonts w:hint="default" w:ascii="Times New Roman" w:hAnsi="Times New Roman" w:eastAsia="仿宋" w:cs="Times New Roman"/>
          <w:sz w:val="30"/>
          <w:szCs w:val="30"/>
          <w:highlight w:val="none"/>
          <w:lang w:val="en-US" w:eastAsia="zh-CN"/>
        </w:rPr>
        <w:t>%；支出决算较上年增加</w:t>
      </w:r>
      <w:r>
        <w:rPr>
          <w:rFonts w:hint="default" w:ascii="Times New Roman" w:hAnsi="Times New Roman" w:eastAsia="仿宋" w:cs="Times New Roman"/>
          <w:sz w:val="30"/>
          <w:szCs w:val="30"/>
          <w:highlight w:val="none"/>
          <w:lang w:val="zh-CN" w:eastAsia="zh-CN"/>
        </w:rPr>
        <w:t>30.00</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2.78</w:t>
      </w:r>
      <w:r>
        <w:rPr>
          <w:rFonts w:hint="default" w:ascii="Times New Roman" w:hAnsi="Times New Roman" w:eastAsia="仿宋" w:cs="Times New Roman"/>
          <w:sz w:val="30"/>
          <w:szCs w:val="30"/>
          <w:highlight w:val="none"/>
          <w:lang w:val="en-US" w:eastAsia="zh-CN"/>
        </w:rPr>
        <w:t>%。</w:t>
      </w:r>
    </w:p>
    <w:p w14:paraId="45D6909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因公出国（境）费用支出年初预算为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元，决算为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元，占财政拨</w:t>
      </w:r>
      <w:r>
        <w:rPr>
          <w:rFonts w:hint="eastAsia" w:ascii="Times New Roman" w:hAnsi="Times New Roman" w:eastAsia="仿宋" w:cs="Times New Roman"/>
          <w:sz w:val="30"/>
          <w:szCs w:val="30"/>
          <w:highlight w:val="none"/>
          <w:lang w:val="en-US" w:eastAsia="zh-CN"/>
        </w:rPr>
        <w:t>款“三公”经费</w:t>
      </w:r>
      <w:r>
        <w:rPr>
          <w:rFonts w:hint="default" w:ascii="Times New Roman" w:hAnsi="Times New Roman" w:eastAsia="仿宋" w:cs="Times New Roman"/>
          <w:sz w:val="30"/>
          <w:szCs w:val="30"/>
          <w:highlight w:val="none"/>
          <w:lang w:val="en-US" w:eastAsia="zh-CN"/>
        </w:rPr>
        <w:t>总支出决算的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%；公务用车购置费支出年初预算为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元，决算为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元，占财政</w:t>
      </w:r>
      <w:r>
        <w:rPr>
          <w:rFonts w:hint="eastAsia" w:ascii="Times New Roman" w:hAnsi="Times New Roman" w:eastAsia="仿宋" w:cs="Times New Roman"/>
          <w:sz w:val="30"/>
          <w:szCs w:val="30"/>
          <w:highlight w:val="none"/>
          <w:lang w:val="en-US" w:eastAsia="zh-CN"/>
        </w:rPr>
        <w:t>拨款“三公”经费</w:t>
      </w:r>
      <w:r>
        <w:rPr>
          <w:rFonts w:hint="default" w:ascii="Times New Roman" w:hAnsi="Times New Roman" w:eastAsia="仿宋" w:cs="Times New Roman"/>
          <w:sz w:val="30"/>
          <w:szCs w:val="30"/>
          <w:highlight w:val="none"/>
          <w:lang w:val="en-US" w:eastAsia="zh-CN"/>
        </w:rPr>
        <w:t>总支出决算的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%；公务用车运行维护费支出年初预算为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元，决算为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元，占财政</w:t>
      </w:r>
      <w:r>
        <w:rPr>
          <w:rFonts w:hint="eastAsia" w:ascii="Times New Roman" w:hAnsi="Times New Roman" w:eastAsia="仿宋" w:cs="Times New Roman"/>
          <w:sz w:val="30"/>
          <w:szCs w:val="30"/>
          <w:highlight w:val="none"/>
          <w:lang w:val="en-US" w:eastAsia="zh-CN"/>
        </w:rPr>
        <w:t>拨款“三公”经费</w:t>
      </w:r>
      <w:r>
        <w:rPr>
          <w:rFonts w:hint="default" w:ascii="Times New Roman" w:hAnsi="Times New Roman" w:eastAsia="仿宋" w:cs="Times New Roman"/>
          <w:sz w:val="30"/>
          <w:szCs w:val="30"/>
          <w:highlight w:val="none"/>
          <w:lang w:val="en-US" w:eastAsia="zh-CN"/>
        </w:rPr>
        <w:t>总支出决算的</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%；公务接待费支出年初预算为</w:t>
      </w:r>
      <w:r>
        <w:rPr>
          <w:rFonts w:hint="default" w:ascii="Times New Roman" w:hAnsi="Times New Roman" w:eastAsia="仿宋" w:cs="Times New Roman"/>
          <w:sz w:val="30"/>
          <w:szCs w:val="30"/>
          <w:highlight w:val="none"/>
          <w:lang w:val="zh-CN" w:eastAsia="zh-CN"/>
        </w:rPr>
        <w:t>4200.00</w:t>
      </w:r>
      <w:r>
        <w:rPr>
          <w:rFonts w:hint="default" w:ascii="Times New Roman" w:hAnsi="Times New Roman" w:eastAsia="仿宋" w:cs="Times New Roman"/>
          <w:sz w:val="30"/>
          <w:szCs w:val="30"/>
          <w:highlight w:val="none"/>
          <w:lang w:val="en-US" w:eastAsia="zh-CN"/>
        </w:rPr>
        <w:t>元，决算为</w:t>
      </w:r>
      <w:r>
        <w:rPr>
          <w:rFonts w:hint="default" w:ascii="Times New Roman" w:hAnsi="Times New Roman" w:eastAsia="仿宋" w:cs="Times New Roman"/>
          <w:sz w:val="30"/>
          <w:szCs w:val="30"/>
          <w:highlight w:val="none"/>
          <w:lang w:val="zh-CN" w:eastAsia="zh-CN"/>
        </w:rPr>
        <w:t>1110.00</w:t>
      </w:r>
      <w:r>
        <w:rPr>
          <w:rFonts w:hint="default" w:ascii="Times New Roman" w:hAnsi="Times New Roman" w:eastAsia="仿宋" w:cs="Times New Roman"/>
          <w:sz w:val="30"/>
          <w:szCs w:val="30"/>
          <w:highlight w:val="none"/>
          <w:lang w:val="en-US" w:eastAsia="zh-CN"/>
        </w:rPr>
        <w:t>元，占财政拨</w:t>
      </w:r>
      <w:r>
        <w:rPr>
          <w:rFonts w:hint="eastAsia" w:ascii="Times New Roman" w:hAnsi="Times New Roman" w:eastAsia="仿宋" w:cs="Times New Roman"/>
          <w:sz w:val="30"/>
          <w:szCs w:val="30"/>
          <w:highlight w:val="none"/>
          <w:lang w:val="en-US" w:eastAsia="zh-CN"/>
        </w:rPr>
        <w:t>款“三公”经费</w:t>
      </w:r>
      <w:r>
        <w:rPr>
          <w:rFonts w:hint="default" w:ascii="Times New Roman" w:hAnsi="Times New Roman" w:eastAsia="仿宋" w:cs="Times New Roman"/>
          <w:sz w:val="30"/>
          <w:szCs w:val="30"/>
          <w:highlight w:val="none"/>
          <w:lang w:val="en-US" w:eastAsia="zh-CN"/>
        </w:rPr>
        <w:t>总支出决算的</w:t>
      </w:r>
      <w:r>
        <w:rPr>
          <w:rFonts w:hint="default" w:ascii="Times New Roman" w:hAnsi="Times New Roman" w:eastAsia="仿宋" w:cs="Times New Roman"/>
          <w:sz w:val="30"/>
          <w:szCs w:val="30"/>
          <w:highlight w:val="none"/>
          <w:lang w:val="zh-CN" w:eastAsia="zh-CN"/>
        </w:rPr>
        <w:t>100.00</w:t>
      </w:r>
      <w:r>
        <w:rPr>
          <w:rFonts w:hint="default" w:ascii="Times New Roman" w:hAnsi="Times New Roman" w:eastAsia="仿宋" w:cs="Times New Roman"/>
          <w:sz w:val="30"/>
          <w:szCs w:val="30"/>
          <w:highlight w:val="none"/>
          <w:lang w:val="en-US" w:eastAsia="zh-CN"/>
        </w:rPr>
        <w:t>%，完成年初预算的</w:t>
      </w:r>
      <w:r>
        <w:rPr>
          <w:rFonts w:hint="default" w:ascii="Times New Roman" w:hAnsi="Times New Roman" w:eastAsia="仿宋" w:cs="Times New Roman"/>
          <w:sz w:val="30"/>
          <w:szCs w:val="30"/>
          <w:highlight w:val="none"/>
          <w:lang w:val="zh-CN" w:eastAsia="zh-CN"/>
        </w:rPr>
        <w:t>26.43</w:t>
      </w:r>
      <w:r>
        <w:rPr>
          <w:rFonts w:hint="default" w:ascii="Times New Roman" w:hAnsi="Times New Roman" w:eastAsia="仿宋" w:cs="Times New Roman"/>
          <w:sz w:val="30"/>
          <w:szCs w:val="30"/>
          <w:highlight w:val="none"/>
          <w:lang w:val="en-US" w:eastAsia="zh-CN"/>
        </w:rPr>
        <w:t>%。</w:t>
      </w:r>
    </w:p>
    <w:p w14:paraId="7F9701B2">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因公出国（境）费用支出决算较上年增加</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元，上年无此项支出；公务用车购置费支出决算较上年增加</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元，上年无此项支出；公务用车运行维护费支出决算较上年增加</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元，上年无此项支出；公务接待费支出决算较上年增加</w:t>
      </w:r>
      <w:r>
        <w:rPr>
          <w:rFonts w:hint="default" w:ascii="Times New Roman" w:hAnsi="Times New Roman" w:eastAsia="仿宋" w:cs="Times New Roman"/>
          <w:sz w:val="30"/>
          <w:szCs w:val="30"/>
          <w:highlight w:val="none"/>
          <w:lang w:val="zh-CN" w:eastAsia="zh-CN"/>
        </w:rPr>
        <w:t>30.00</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2.78</w:t>
      </w:r>
      <w:r>
        <w:rPr>
          <w:rFonts w:hint="default" w:ascii="Times New Roman" w:hAnsi="Times New Roman" w:eastAsia="仿宋" w:cs="Times New Roman"/>
          <w:sz w:val="30"/>
          <w:szCs w:val="30"/>
          <w:highlight w:val="none"/>
          <w:lang w:val="en-US" w:eastAsia="zh-CN"/>
        </w:rPr>
        <w:t>%，具体是国内接待费支出决算</w:t>
      </w:r>
      <w:r>
        <w:rPr>
          <w:rFonts w:hint="default" w:ascii="Times New Roman" w:hAnsi="Times New Roman" w:eastAsia="仿宋" w:cs="Times New Roman"/>
          <w:sz w:val="30"/>
          <w:szCs w:val="30"/>
          <w:highlight w:val="none"/>
          <w:lang w:val="zh-CN" w:eastAsia="zh-CN"/>
        </w:rPr>
        <w:t>1110.00</w:t>
      </w:r>
      <w:r>
        <w:rPr>
          <w:rFonts w:hint="default" w:ascii="Times New Roman" w:hAnsi="Times New Roman" w:eastAsia="仿宋" w:cs="Times New Roman"/>
          <w:sz w:val="30"/>
          <w:szCs w:val="30"/>
          <w:highlight w:val="none"/>
          <w:lang w:val="en-US" w:eastAsia="zh-CN"/>
        </w:rPr>
        <w:t>元（其中：外事接待费支出决算</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元），较上年增加</w:t>
      </w:r>
      <w:r>
        <w:rPr>
          <w:rFonts w:hint="default" w:ascii="Times New Roman" w:hAnsi="Times New Roman" w:eastAsia="仿宋" w:cs="Times New Roman"/>
          <w:sz w:val="30"/>
          <w:szCs w:val="30"/>
          <w:highlight w:val="none"/>
          <w:lang w:val="zh-CN" w:eastAsia="zh-CN"/>
        </w:rPr>
        <w:t>30.00</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2.78</w:t>
      </w:r>
      <w:r>
        <w:rPr>
          <w:rFonts w:hint="default" w:ascii="Times New Roman" w:hAnsi="Times New Roman" w:eastAsia="仿宋" w:cs="Times New Roman"/>
          <w:sz w:val="30"/>
          <w:szCs w:val="30"/>
          <w:highlight w:val="none"/>
          <w:lang w:val="en-US" w:eastAsia="zh-CN"/>
        </w:rPr>
        <w:t>%；国（境）外接待费支出决算</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元，较上年增加</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元，上年无此项支出。</w:t>
      </w:r>
    </w:p>
    <w:p w14:paraId="7C709D7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outlineLvl w:val="2"/>
        <w:rPr>
          <w:rFonts w:hint="eastAsia" w:ascii="楷体_GB2312" w:hAnsi="楷体_GB2312" w:eastAsia="楷体_GB2312" w:cs="楷体_GB2312"/>
          <w:kern w:val="0"/>
          <w:sz w:val="30"/>
          <w:szCs w:val="30"/>
          <w:highlight w:val="none"/>
          <w:lang w:val="en-US" w:eastAsia="zh-CN"/>
        </w:rPr>
      </w:pPr>
      <w:r>
        <w:rPr>
          <w:rFonts w:hint="eastAsia" w:ascii="楷体" w:hAnsi="楷体" w:eastAsia="楷体" w:cs="楷体"/>
          <w:sz w:val="30"/>
          <w:szCs w:val="30"/>
          <w:highlight w:val="none"/>
          <w:lang w:val="en-US" w:eastAsia="zh-CN"/>
        </w:rPr>
        <w:t>（二）一般公共预算财政拨款“三公”经费支出决算情况说明</w:t>
      </w:r>
    </w:p>
    <w:p w14:paraId="5B50E65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一般公共预算财政拨款</w:t>
      </w:r>
      <w:r>
        <w:rPr>
          <w:rFonts w:hint="eastAsia" w:ascii="Times New Roman" w:hAnsi="Times New Roman" w:eastAsia="仿宋" w:cs="Times New Roman"/>
          <w:sz w:val="30"/>
          <w:szCs w:val="30"/>
          <w:highlight w:val="none"/>
          <w:lang w:val="zh-CN" w:eastAsia="zh-CN"/>
        </w:rPr>
        <w:t>“三公”</w:t>
      </w:r>
      <w:r>
        <w:rPr>
          <w:rFonts w:hint="default" w:ascii="Times New Roman" w:hAnsi="Times New Roman" w:eastAsia="仿宋" w:cs="Times New Roman"/>
          <w:sz w:val="30"/>
          <w:szCs w:val="30"/>
          <w:highlight w:val="none"/>
          <w:lang w:val="zh-CN" w:eastAsia="zh-CN"/>
        </w:rPr>
        <w:t>经费支出年初预算为4200.00元，支出决算为1110.00元，完成年初预算的26.43%，支出决算较上年增加30.00</w:t>
      </w:r>
      <w:r>
        <w:rPr>
          <w:rFonts w:hint="default" w:ascii="Times New Roman" w:hAnsi="Times New Roman" w:eastAsia="仿宋" w:cs="Times New Roman"/>
          <w:sz w:val="30"/>
          <w:szCs w:val="30"/>
          <w:highlight w:val="none"/>
          <w:lang w:val="en-US" w:eastAsia="zh-CN"/>
        </w:rPr>
        <w:t>元，增长</w:t>
      </w:r>
      <w:r>
        <w:rPr>
          <w:rFonts w:hint="default" w:ascii="Times New Roman" w:hAnsi="Times New Roman" w:eastAsia="仿宋" w:cs="Times New Roman"/>
          <w:sz w:val="30"/>
          <w:szCs w:val="30"/>
          <w:highlight w:val="none"/>
          <w:lang w:val="zh-CN" w:eastAsia="zh-CN"/>
        </w:rPr>
        <w:t>2.78</w:t>
      </w:r>
      <w:r>
        <w:rPr>
          <w:rFonts w:hint="default"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zh-CN" w:eastAsia="zh-CN"/>
        </w:rPr>
        <w:t>。</w:t>
      </w:r>
    </w:p>
    <w:p w14:paraId="5D189967">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一般公共预算财政拨款</w:t>
      </w:r>
      <w:r>
        <w:rPr>
          <w:rFonts w:hint="eastAsia" w:ascii="Times New Roman" w:hAnsi="Times New Roman" w:eastAsia="仿宋" w:cs="Times New Roman"/>
          <w:sz w:val="30"/>
          <w:szCs w:val="30"/>
          <w:highlight w:val="none"/>
          <w:lang w:val="zh-CN" w:eastAsia="zh-CN"/>
        </w:rPr>
        <w:t>“三公”经</w:t>
      </w:r>
      <w:r>
        <w:rPr>
          <w:rFonts w:hint="default" w:ascii="Times New Roman" w:hAnsi="Times New Roman" w:eastAsia="仿宋" w:cs="Times New Roman"/>
          <w:sz w:val="30"/>
          <w:szCs w:val="30"/>
          <w:highlight w:val="none"/>
          <w:lang w:val="zh-CN" w:eastAsia="zh-CN"/>
        </w:rPr>
        <w:t>费支出中：因公出国（境）费用支出年初预算为0.00元，决算为0.00元，完成年初预算的0.00%；公务用车购置费支出年初预算为0.00元，决算为0.00元，完成年初预算的0.00%；公务用车运行维护费支出年初预算为0.00元，决算为0.00元，完成年初预算的0.00%；公务接待费支出年初预算为4200.00元，决算为1110.00元，完成年初预算的26.43%。</w:t>
      </w: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一般公共预算财政拨</w:t>
      </w:r>
      <w:r>
        <w:rPr>
          <w:rFonts w:hint="eastAsia" w:ascii="Times New Roman" w:hAnsi="Times New Roman" w:eastAsia="仿宋" w:cs="Times New Roman"/>
          <w:sz w:val="30"/>
          <w:szCs w:val="30"/>
          <w:highlight w:val="none"/>
          <w:lang w:val="zh-CN" w:eastAsia="zh-CN"/>
        </w:rPr>
        <w:t>款“三公”经费</w:t>
      </w:r>
      <w:r>
        <w:rPr>
          <w:rFonts w:hint="default" w:ascii="Times New Roman" w:hAnsi="Times New Roman" w:eastAsia="仿宋" w:cs="Times New Roman"/>
          <w:sz w:val="30"/>
          <w:szCs w:val="30"/>
          <w:highlight w:val="none"/>
          <w:lang w:val="zh-CN" w:eastAsia="zh-CN"/>
        </w:rPr>
        <w:t>支出决算数小于年初预算数的主要原因是单位严格执行厉行节约。</w:t>
      </w:r>
    </w:p>
    <w:p w14:paraId="0B3D6CF6">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一般公共预算</w:t>
      </w:r>
      <w:r>
        <w:rPr>
          <w:rFonts w:hint="eastAsia" w:ascii="Times New Roman" w:hAnsi="Times New Roman" w:eastAsia="仿宋" w:cs="Times New Roman"/>
          <w:sz w:val="30"/>
          <w:szCs w:val="30"/>
          <w:highlight w:val="none"/>
          <w:lang w:val="zh-CN" w:eastAsia="zh-CN"/>
        </w:rPr>
        <w:t>财政拨款“三公”经费</w:t>
      </w:r>
      <w:r>
        <w:rPr>
          <w:rFonts w:hint="default" w:ascii="Times New Roman" w:hAnsi="Times New Roman" w:eastAsia="仿宋" w:cs="Times New Roman"/>
          <w:sz w:val="30"/>
          <w:szCs w:val="30"/>
          <w:highlight w:val="none"/>
          <w:lang w:val="zh-CN" w:eastAsia="zh-CN"/>
        </w:rPr>
        <w:t>支出中：因公出国（境）费用支出决算增加0.00元，上年无此项支出；公务用车购置费支出决算增加0.00元，上年无此项支出；公务用车运行维护费支出决算增加0.00元，上年无此项支出；公务接待费支出决算增加30.00元，增长2.78%，具体是国内接待费支出决算1110.00元（其中：外事接待费支出决算0.00元），较上年增加</w:t>
      </w:r>
      <w:r>
        <w:rPr>
          <w:rFonts w:hint="default" w:ascii="Times New Roman" w:hAnsi="Times New Roman" w:eastAsia="仿宋" w:cs="Times New Roman"/>
          <w:sz w:val="30"/>
          <w:szCs w:val="30"/>
          <w:highlight w:val="none"/>
          <w:lang w:val="en-US" w:eastAsia="zh-CN"/>
        </w:rPr>
        <w:t>30.00元，增长2.78%</w:t>
      </w:r>
      <w:r>
        <w:rPr>
          <w:rFonts w:hint="default" w:ascii="Times New Roman" w:hAnsi="Times New Roman" w:eastAsia="仿宋" w:cs="Times New Roman"/>
          <w:sz w:val="30"/>
          <w:szCs w:val="30"/>
          <w:highlight w:val="none"/>
          <w:lang w:val="zh-CN" w:eastAsia="zh-CN"/>
        </w:rPr>
        <w:t>；国（境）外接待费支出决算0.00元较上年增加</w:t>
      </w:r>
      <w:r>
        <w:rPr>
          <w:rFonts w:hint="default" w:ascii="Times New Roman" w:hAnsi="Times New Roman" w:eastAsia="仿宋" w:cs="Times New Roman"/>
          <w:sz w:val="30"/>
          <w:szCs w:val="30"/>
          <w:highlight w:val="none"/>
          <w:lang w:val="en-US" w:eastAsia="zh-CN"/>
        </w:rPr>
        <w:t>0.00元，</w:t>
      </w:r>
      <w:r>
        <w:rPr>
          <w:rFonts w:hint="default" w:ascii="Times New Roman" w:hAnsi="Times New Roman" w:eastAsia="仿宋" w:cs="Times New Roman"/>
          <w:sz w:val="30"/>
          <w:szCs w:val="30"/>
          <w:highlight w:val="none"/>
          <w:lang w:val="zh-CN" w:eastAsia="zh-CN"/>
        </w:rPr>
        <w:t>上年无此项支出。</w:t>
      </w:r>
      <w:r>
        <w:rPr>
          <w:rFonts w:hint="default" w:ascii="Times New Roman" w:hAnsi="Times New Roman" w:eastAsia="仿宋" w:cs="Times New Roman"/>
          <w:sz w:val="30"/>
          <w:szCs w:val="30"/>
          <w:highlight w:val="none"/>
          <w:lang w:val="en-US" w:eastAsia="zh-CN"/>
        </w:rPr>
        <w:t>2025年度</w:t>
      </w:r>
      <w:r>
        <w:rPr>
          <w:rFonts w:hint="default" w:ascii="Times New Roman" w:hAnsi="Times New Roman" w:eastAsia="仿宋" w:cs="Times New Roman"/>
          <w:sz w:val="30"/>
          <w:szCs w:val="30"/>
          <w:highlight w:val="none"/>
          <w:lang w:val="zh-CN" w:eastAsia="zh-CN"/>
        </w:rPr>
        <w:t>一般公共预算财</w:t>
      </w:r>
      <w:r>
        <w:rPr>
          <w:rFonts w:hint="eastAsia" w:ascii="Times New Roman" w:hAnsi="Times New Roman" w:eastAsia="仿宋" w:cs="Times New Roman"/>
          <w:sz w:val="30"/>
          <w:szCs w:val="30"/>
          <w:highlight w:val="none"/>
          <w:lang w:val="zh-CN" w:eastAsia="zh-CN"/>
        </w:rPr>
        <w:t>政拨款“三公”经</w:t>
      </w:r>
      <w:r>
        <w:rPr>
          <w:rFonts w:hint="default" w:ascii="Times New Roman" w:hAnsi="Times New Roman" w:eastAsia="仿宋" w:cs="Times New Roman"/>
          <w:sz w:val="30"/>
          <w:szCs w:val="30"/>
          <w:highlight w:val="none"/>
          <w:lang w:val="zh-CN" w:eastAsia="zh-CN"/>
        </w:rPr>
        <w:t>费支出决算增加的主要原因是2025年开展专项工作公务接待费用略高于上年。</w:t>
      </w:r>
    </w:p>
    <w:p w14:paraId="224450E5">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一般公共预算</w:t>
      </w:r>
      <w:r>
        <w:rPr>
          <w:rFonts w:hint="eastAsia" w:ascii="Times New Roman" w:hAnsi="Times New Roman" w:eastAsia="仿宋" w:cs="Times New Roman"/>
          <w:sz w:val="30"/>
          <w:szCs w:val="30"/>
          <w:highlight w:val="none"/>
          <w:lang w:val="zh-CN" w:eastAsia="zh-CN"/>
        </w:rPr>
        <w:t>财政拨款“三公”经费</w:t>
      </w:r>
      <w:r>
        <w:rPr>
          <w:rFonts w:hint="default" w:ascii="Times New Roman" w:hAnsi="Times New Roman" w:eastAsia="仿宋" w:cs="Times New Roman"/>
          <w:sz w:val="30"/>
          <w:szCs w:val="30"/>
          <w:highlight w:val="none"/>
          <w:lang w:val="zh-CN" w:eastAsia="zh-CN"/>
        </w:rPr>
        <w:t>支出实物量的具体情况：</w:t>
      </w:r>
    </w:p>
    <w:p w14:paraId="7454471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1.安排因公出国（境）团组0个，累计0人次。</w:t>
      </w:r>
    </w:p>
    <w:p w14:paraId="2F67562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2.购置车辆0辆。开支一般公共预算财政拨款的公务用车保有量为0辆。</w:t>
      </w:r>
    </w:p>
    <w:p w14:paraId="2972A39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zh-CN" w:eastAsia="zh-CN"/>
        </w:rPr>
      </w:pPr>
      <w:r>
        <w:rPr>
          <w:rFonts w:hint="default" w:ascii="Times New Roman" w:hAnsi="Times New Roman" w:eastAsia="仿宋" w:cs="Times New Roman"/>
          <w:sz w:val="30"/>
          <w:szCs w:val="30"/>
          <w:highlight w:val="none"/>
          <w:lang w:val="zh-CN" w:eastAsia="zh-CN"/>
        </w:rPr>
        <w:t>3.安排国内公务接待2批次（其中：外事接待0批次），接待人次13人（其中：外事接待人次0人）。主要用于上级或其他县份单位来华宁调研等发生的接待支出。安排国（境）外公务接待0批次，接待人次0人。</w:t>
      </w:r>
    </w:p>
    <w:p w14:paraId="551975A1">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（三）需要说明的事项</w:t>
      </w:r>
    </w:p>
    <w:p w14:paraId="5D2BFAC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Times New Roman" w:hAnsi="Times New Roman" w:eastAsia="仿宋" w:cs="Times New Roman"/>
          <w:sz w:val="30"/>
          <w:szCs w:val="30"/>
          <w:highlight w:val="none"/>
          <w:lang w:val="zh-CN" w:eastAsia="zh-CN"/>
        </w:rPr>
      </w:pPr>
      <w:r>
        <w:rPr>
          <w:rFonts w:hint="eastAsia" w:ascii="Times New Roman" w:hAnsi="Times New Roman" w:eastAsia="仿宋" w:cs="Times New Roman"/>
          <w:sz w:val="30"/>
          <w:szCs w:val="30"/>
          <w:highlight w:val="none"/>
          <w:lang w:val="zh-CN" w:eastAsia="zh-CN"/>
        </w:rPr>
        <w:t>不存在需要说明的事项。</w:t>
      </w:r>
    </w:p>
    <w:p w14:paraId="50A6D9F2">
      <w:pPr>
        <w:keepNext w:val="0"/>
        <w:keepLines w:val="0"/>
        <w:pageBreakBefore w:val="0"/>
        <w:widowControl w:val="0"/>
        <w:kinsoku/>
        <w:wordWrap/>
        <w:overflowPunct/>
        <w:topLinePunct w:val="0"/>
        <w:autoSpaceDE/>
        <w:autoSpaceDN/>
        <w:bidi w:val="0"/>
        <w:adjustRightInd w:val="0"/>
        <w:snapToGrid w:val="0"/>
        <w:spacing w:before="260" w:after="260" w:line="560" w:lineRule="exact"/>
        <w:jc w:val="center"/>
        <w:textAlignment w:val="auto"/>
        <w:outlineLvl w:val="0"/>
        <w:rPr>
          <w:rFonts w:hint="eastAsia" w:ascii="黑体" w:hAnsi="黑体" w:eastAsia="黑体"/>
          <w:sz w:val="32"/>
          <w:szCs w:val="32"/>
          <w:highlight w:val="none"/>
        </w:rPr>
      </w:pPr>
      <w:r>
        <w:rPr>
          <w:rFonts w:hint="eastAsia" w:ascii="黑体" w:hAnsi="黑体" w:eastAsia="黑体"/>
          <w:sz w:val="32"/>
          <w:szCs w:val="32"/>
          <w:highlight w:val="none"/>
        </w:rPr>
        <w:t>第四部分  其他重要事项及相关口径情况说明</w:t>
      </w:r>
    </w:p>
    <w:p w14:paraId="0289BD32">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lang w:eastAsia="zh-CN"/>
        </w:rPr>
        <w:t>一、机关运行经费支出情况</w:t>
      </w:r>
    </w:p>
    <w:p w14:paraId="3EA183F7">
      <w:pPr>
        <w:keepNext w:val="0"/>
        <w:keepLines w:val="0"/>
        <w:pageBreakBefore w:val="0"/>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2025年机关运行经费支出101066.75元，比上年增加17117.65元，增长</w:t>
      </w:r>
      <w:r>
        <w:rPr>
          <w:rFonts w:hint="default" w:ascii="Times New Roman" w:hAnsi="Times New Roman" w:eastAsia="仿宋" w:cs="Times New Roman"/>
          <w:sz w:val="30"/>
          <w:szCs w:val="30"/>
          <w:highlight w:val="none"/>
          <w:lang w:val="zh-CN" w:eastAsia="zh-CN"/>
        </w:rPr>
        <w:t>20.39</w:t>
      </w:r>
      <w:r>
        <w:rPr>
          <w:rFonts w:hint="default" w:ascii="Times New Roman" w:hAnsi="Times New Roman" w:eastAsia="仿宋" w:cs="Times New Roman"/>
          <w:sz w:val="30"/>
          <w:szCs w:val="30"/>
          <w:highlight w:val="none"/>
          <w:lang w:val="en-US" w:eastAsia="zh-CN"/>
        </w:rPr>
        <w:t>%</w:t>
      </w:r>
      <w:r>
        <w:rPr>
          <w:rFonts w:hint="eastAsia" w:ascii="Times New Roman" w:hAnsi="Times New Roman" w:eastAsia="仿宋" w:cs="Times New Roman"/>
          <w:sz w:val="30"/>
          <w:szCs w:val="30"/>
          <w:highlight w:val="none"/>
          <w:lang w:val="en-US" w:eastAsia="zh-CN"/>
        </w:rPr>
        <w:t>，</w:t>
      </w:r>
      <w:r>
        <w:rPr>
          <w:rFonts w:hint="default" w:ascii="Times New Roman" w:hAnsi="Times New Roman" w:eastAsia="仿宋" w:cs="Times New Roman"/>
          <w:sz w:val="30"/>
          <w:szCs w:val="30"/>
          <w:highlight w:val="none"/>
          <w:lang w:val="en-US" w:eastAsia="zh-CN"/>
        </w:rPr>
        <w:t>主要原因是人员增加办公经费支出增加。部门机关运行经费主要用于办公费27381.16元，邮电费1500.00元，培训费6580.00元，公务接待费1110.00元，工会经费430.00元，福利费10065.59元，其他交通费用54000.00元。</w:t>
      </w:r>
    </w:p>
    <w:p w14:paraId="64564063">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黑体" w:hAnsi="黑体" w:eastAsia="黑体" w:cs="黑体"/>
          <w:sz w:val="30"/>
          <w:szCs w:val="30"/>
          <w:highlight w:val="none"/>
          <w:lang w:eastAsia="zh-CN"/>
        </w:rPr>
      </w:pPr>
      <w:r>
        <w:rPr>
          <w:rFonts w:hint="eastAsia" w:ascii="黑体" w:hAnsi="黑体" w:eastAsia="黑体" w:cs="黑体"/>
          <w:sz w:val="30"/>
          <w:szCs w:val="30"/>
          <w:highlight w:val="none"/>
          <w:lang w:val="en-US" w:eastAsia="zh-CN"/>
        </w:rPr>
        <w:t>二、</w:t>
      </w:r>
      <w:r>
        <w:rPr>
          <w:rFonts w:hint="eastAsia" w:ascii="黑体" w:hAnsi="黑体" w:eastAsia="黑体" w:cs="黑体"/>
          <w:sz w:val="30"/>
          <w:szCs w:val="30"/>
          <w:highlight w:val="none"/>
          <w:lang w:eastAsia="zh-CN"/>
        </w:rPr>
        <w:t>国有资产占用情况</w:t>
      </w:r>
    </w:p>
    <w:p w14:paraId="74D2DBD8">
      <w:pPr>
        <w:keepNext w:val="0"/>
        <w:keepLines w:val="0"/>
        <w:pageBreakBefore w:val="0"/>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截至2025年末，</w:t>
      </w:r>
      <w:r>
        <w:rPr>
          <w:rFonts w:hint="default" w:ascii="Times New Roman" w:hAnsi="Times New Roman" w:eastAsia="仿宋" w:cs="Times New Roman"/>
          <w:sz w:val="30"/>
          <w:szCs w:val="30"/>
          <w:highlight w:val="none"/>
          <w:lang w:val="zh-CN" w:eastAsia="zh-CN"/>
        </w:rPr>
        <w:t>中国共产党华宁县委员会机构编制委员会办公室</w:t>
      </w:r>
      <w:r>
        <w:rPr>
          <w:rFonts w:hint="default" w:ascii="Times New Roman" w:hAnsi="Times New Roman" w:eastAsia="仿宋" w:cs="Times New Roman"/>
          <w:sz w:val="30"/>
          <w:szCs w:val="30"/>
          <w:highlight w:val="none"/>
          <w:lang w:val="en-US" w:eastAsia="zh-CN"/>
        </w:rPr>
        <w:t>资产总额91030.93元，其中，流动资产3168.30元，固定资产86080.22元，对外投资及有价证券0.00元，在建工程0.00元，无形资产1782.41元，其他资产0.00元（具体内容详见附表）。与上年相比，本年资产总额减少25336.75元，其中固定资产减少24700.20元。处置房屋建筑物0.00平方米，账面原值0.00元；处置车辆0辆，账面原值0.00元；报废报损资产0项，账面原值0.00元，实现资产处置收入0.00元；出租房屋0.00平方米，账面原值0.00元，实现资产使用收入0.00元。</w:t>
      </w:r>
    </w:p>
    <w:p w14:paraId="55ADFB5B">
      <w:pPr>
        <w:keepNext w:val="0"/>
        <w:keepLines w:val="0"/>
        <w:pageBreakBefore w:val="0"/>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（国有资产占有使用情况表详见附表）</w:t>
      </w:r>
    </w:p>
    <w:p w14:paraId="7738BEF8">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三、政府采购支出情况</w:t>
      </w:r>
    </w:p>
    <w:p w14:paraId="62208D14">
      <w:pPr>
        <w:keepNext w:val="0"/>
        <w:keepLines w:val="0"/>
        <w:pageBreakBefore w:val="0"/>
        <w:kinsoku/>
        <w:overflowPunct/>
        <w:topLinePunct w:val="0"/>
        <w:autoSpaceDE/>
        <w:autoSpaceDN/>
        <w:bidi w:val="0"/>
        <w:adjustRightInd w:val="0"/>
        <w:snapToGrid w:val="0"/>
        <w:spacing w:line="560" w:lineRule="exact"/>
        <w:ind w:firstLine="600" w:firstLineChars="200"/>
        <w:jc w:val="both"/>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2025年度，部门政府采购支出总额</w:t>
      </w:r>
      <w:r>
        <w:rPr>
          <w:rFonts w:hint="eastAsia" w:ascii="Times New Roman" w:hAnsi="Times New Roman" w:eastAsia="仿宋" w:cs="Times New Roman"/>
          <w:sz w:val="30"/>
          <w:szCs w:val="30"/>
          <w:highlight w:val="none"/>
          <w:lang w:val="en-US" w:eastAsia="zh-CN"/>
        </w:rPr>
        <w:t>33467.4</w:t>
      </w:r>
      <w:r>
        <w:rPr>
          <w:rFonts w:hint="default" w:ascii="Times New Roman" w:hAnsi="Times New Roman" w:eastAsia="仿宋" w:cs="Times New Roman"/>
          <w:sz w:val="30"/>
          <w:szCs w:val="30"/>
          <w:highlight w:val="none"/>
          <w:lang w:val="en-US" w:eastAsia="zh-CN"/>
        </w:rPr>
        <w:t>元，其中：政府采购货物支出</w:t>
      </w:r>
      <w:r>
        <w:rPr>
          <w:rFonts w:hint="eastAsia" w:ascii="Times New Roman" w:hAnsi="Times New Roman" w:eastAsia="仿宋" w:cs="Times New Roman"/>
          <w:sz w:val="30"/>
          <w:szCs w:val="30"/>
          <w:highlight w:val="none"/>
          <w:lang w:val="en-US" w:eastAsia="zh-CN"/>
        </w:rPr>
        <w:t>33467.4</w:t>
      </w:r>
      <w:r>
        <w:rPr>
          <w:rFonts w:hint="default" w:ascii="Times New Roman" w:hAnsi="Times New Roman" w:eastAsia="仿宋" w:cs="Times New Roman"/>
          <w:sz w:val="30"/>
          <w:szCs w:val="30"/>
          <w:highlight w:val="none"/>
          <w:lang w:val="en-US" w:eastAsia="zh-CN"/>
        </w:rPr>
        <w:t>元；政府采购工程支出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元；政府采购服务支出</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元。授予中小企业合同金额</w:t>
      </w:r>
      <w:r>
        <w:rPr>
          <w:rFonts w:hint="default" w:ascii="Times New Roman" w:hAnsi="Times New Roman" w:eastAsia="仿宋" w:cs="Times New Roman"/>
          <w:sz w:val="30"/>
          <w:szCs w:val="30"/>
          <w:highlight w:val="none"/>
          <w:lang w:val="zh-CN" w:eastAsia="zh-CN"/>
        </w:rPr>
        <w:t>0.00</w:t>
      </w:r>
      <w:r>
        <w:rPr>
          <w:rFonts w:hint="default" w:ascii="Times New Roman" w:hAnsi="Times New Roman" w:eastAsia="仿宋" w:cs="Times New Roman"/>
          <w:sz w:val="30"/>
          <w:szCs w:val="30"/>
          <w:highlight w:val="none"/>
          <w:lang w:val="en-US" w:eastAsia="zh-CN"/>
        </w:rPr>
        <w:t>元，其中：授予小微企业合同金额</w:t>
      </w:r>
      <w:r>
        <w:rPr>
          <w:rFonts w:hint="eastAsia" w:ascii="Times New Roman" w:hAnsi="Times New Roman" w:eastAsia="仿宋" w:cs="Times New Roman"/>
          <w:sz w:val="30"/>
          <w:szCs w:val="30"/>
          <w:highlight w:val="none"/>
          <w:lang w:val="en-US" w:eastAsia="zh-CN"/>
        </w:rPr>
        <w:t>33467.4</w:t>
      </w:r>
      <w:r>
        <w:rPr>
          <w:rFonts w:hint="default" w:ascii="Times New Roman" w:hAnsi="Times New Roman" w:eastAsia="仿宋" w:cs="Times New Roman"/>
          <w:sz w:val="30"/>
          <w:szCs w:val="30"/>
          <w:highlight w:val="none"/>
          <w:lang w:val="en-US" w:eastAsia="zh-CN"/>
        </w:rPr>
        <w:t>元。</w:t>
      </w:r>
    </w:p>
    <w:p w14:paraId="1885FB06">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四、部门绩效自评情况</w:t>
      </w:r>
    </w:p>
    <w:p w14:paraId="4BEC630F">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（一）部门整体支出绩效自评情况</w:t>
      </w:r>
    </w:p>
    <w:p w14:paraId="6C0C457A">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部门整体支出绩效自评情况详见公开表13表。</w:t>
      </w:r>
    </w:p>
    <w:p w14:paraId="078FBC4E">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方正楷体_GBK" w:hAnsi="方正楷体_GBK" w:eastAsia="方正楷体_GBK" w:cs="方正楷体_GBK"/>
          <w:sz w:val="30"/>
          <w:szCs w:val="30"/>
          <w:highlight w:val="none"/>
          <w:lang w:val="en-US" w:eastAsia="zh-CN"/>
        </w:rPr>
      </w:pPr>
      <w:r>
        <w:rPr>
          <w:rFonts w:hint="eastAsia" w:ascii="楷体" w:hAnsi="楷体" w:eastAsia="楷体" w:cs="楷体"/>
          <w:sz w:val="30"/>
          <w:szCs w:val="30"/>
          <w:highlight w:val="none"/>
          <w:lang w:val="en-US" w:eastAsia="zh-CN"/>
        </w:rPr>
        <w:t>（二）部门整体支出绩效自评表</w:t>
      </w:r>
    </w:p>
    <w:p w14:paraId="5CFFF507">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部门整体支出绩效自评表详见公开表14表。</w:t>
      </w:r>
    </w:p>
    <w:p w14:paraId="774D4CD7">
      <w:pPr>
        <w:keepNext w:val="0"/>
        <w:keepLines w:val="0"/>
        <w:pageBreakBefore w:val="0"/>
        <w:widowControl/>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方正楷体_GBK" w:hAnsi="方正楷体_GBK" w:eastAsia="方正楷体_GBK" w:cs="方正楷体_GBK"/>
          <w:sz w:val="30"/>
          <w:szCs w:val="30"/>
          <w:highlight w:val="none"/>
          <w:lang w:val="en-US" w:eastAsia="zh-CN"/>
        </w:rPr>
      </w:pPr>
      <w:r>
        <w:rPr>
          <w:rFonts w:hint="eastAsia" w:ascii="楷体" w:hAnsi="楷体" w:eastAsia="楷体" w:cs="楷体"/>
          <w:sz w:val="30"/>
          <w:szCs w:val="30"/>
          <w:highlight w:val="none"/>
          <w:lang w:val="en-US" w:eastAsia="zh-CN"/>
        </w:rPr>
        <w:t>（三）项目支出绩效自评表</w:t>
      </w:r>
    </w:p>
    <w:p w14:paraId="24C1F7B1">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default" w:ascii="Times New Roman" w:hAnsi="Times New Roman" w:eastAsia="仿宋" w:cs="Times New Roman"/>
          <w:sz w:val="30"/>
          <w:szCs w:val="30"/>
          <w:highlight w:val="none"/>
          <w:lang w:val="en-US" w:eastAsia="zh-CN"/>
        </w:rPr>
      </w:pPr>
      <w:r>
        <w:rPr>
          <w:rFonts w:hint="default" w:ascii="Times New Roman" w:hAnsi="Times New Roman" w:eastAsia="仿宋" w:cs="Times New Roman"/>
          <w:sz w:val="30"/>
          <w:szCs w:val="30"/>
          <w:highlight w:val="none"/>
          <w:lang w:val="en-US" w:eastAsia="zh-CN"/>
        </w:rPr>
        <w:t>项目支出绩效自评表详见公开表15、16表。</w:t>
      </w:r>
    </w:p>
    <w:p w14:paraId="59F01792">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方正黑体_GBK" w:hAnsi="方正黑体_GBK" w:eastAsia="方正黑体_GBK" w:cs="方正黑体_GBK"/>
          <w:sz w:val="30"/>
          <w:szCs w:val="30"/>
          <w:highlight w:val="none"/>
          <w:lang w:val="en-US" w:eastAsia="zh-CN"/>
        </w:rPr>
      </w:pPr>
      <w:r>
        <w:rPr>
          <w:rFonts w:hint="eastAsia" w:ascii="黑体" w:hAnsi="黑体" w:eastAsia="黑体" w:cs="黑体"/>
          <w:sz w:val="30"/>
          <w:szCs w:val="30"/>
          <w:highlight w:val="none"/>
          <w:lang w:val="en-US" w:eastAsia="zh-CN"/>
        </w:rPr>
        <w:t>五、其他重要事项情况说明</w:t>
      </w:r>
    </w:p>
    <w:p w14:paraId="28213E90">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我单位无其他重要事项情况说明。</w:t>
      </w:r>
    </w:p>
    <w:p w14:paraId="33BE9672">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六、相关口径说明</w:t>
      </w:r>
    </w:p>
    <w:p w14:paraId="042A0289">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（一）基本支出中人员经费包括工资福利支出和对个人和家庭的补助，公用经费包括商品和服务支出、资本性支出等人员经费以外的支出。</w:t>
      </w:r>
    </w:p>
    <w:p w14:paraId="4A70D7CA">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（二）机关运行经费指行政单位和参照公务员法管理的事业单位使用一般公共预算财政拨款安排的基本支出中的公用经费支出。</w:t>
      </w:r>
    </w:p>
    <w:p w14:paraId="62532DC2">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三）按照党中央、国务院有关文件及部门预算管理有关规定，“三公”经费包括因公出国（境）费用、公务用车购置及运行维护费、公务接待费。其中：因公出国（境）费用，指单位公务出国（境）的国际旅费、国外城市间交通费、住宿费、伙食费、培训费、公杂费等支出；公务用车购置费，指公务用车购置支出（含车辆购置税、牌照费）；公务用车运行维护费，指单位按规定保留的公务用车燃料费、维修费、过桥过路费、保险费、安全奖励费用等支出；公务用车指用于履行公务的机动车辆，包括省部级干部专车、一般公务用车和执法执勤用车；公务接待费，指单位按规定开支的各类公务接待（含外宾接待）费用。本文中公开的财政拨款“三公”经费相关数据是一般公共预算、政府性基金及国有资本经营预算财政拨款支出的相关经费，不含非财政拨款部分。</w:t>
      </w:r>
    </w:p>
    <w:p w14:paraId="4C741541">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四）本文所称财政拨款“三公”经费决算数是指各部门（含下属单位）当年通过本级财政拨款和以前年度财政拨款结转结余资金安排的因公出国（境）费用、公务用车购置及运行维护费和公务接待费支出数（包括基本支出和项目支出）。</w:t>
      </w:r>
    </w:p>
    <w:p w14:paraId="77540490">
      <w:pPr>
        <w:keepNext w:val="0"/>
        <w:keepLines w:val="0"/>
        <w:pageBreakBefore w:val="0"/>
        <w:widowControl w:val="0"/>
        <w:kinsoku/>
        <w:wordWrap/>
        <w:overflowPunct/>
        <w:topLinePunct w:val="0"/>
        <w:autoSpaceDE/>
        <w:autoSpaceDN/>
        <w:bidi w:val="0"/>
        <w:adjustRightInd w:val="0"/>
        <w:snapToGrid w:val="0"/>
        <w:spacing w:before="260" w:after="260" w:line="560" w:lineRule="exact"/>
        <w:jc w:val="center"/>
        <w:textAlignment w:val="auto"/>
        <w:outlineLvl w:val="0"/>
        <w:rPr>
          <w:rFonts w:hint="eastAsia" w:ascii="黑体" w:hAnsi="黑体" w:eastAsia="黑体"/>
          <w:sz w:val="32"/>
          <w:szCs w:val="32"/>
          <w:highlight w:val="none"/>
        </w:rPr>
      </w:pPr>
      <w:r>
        <w:rPr>
          <w:rFonts w:hint="eastAsia" w:ascii="黑体" w:hAnsi="黑体" w:eastAsia="黑体"/>
          <w:sz w:val="32"/>
          <w:szCs w:val="32"/>
          <w:highlight w:val="none"/>
        </w:rPr>
        <w:t>第</w:t>
      </w:r>
      <w:r>
        <w:rPr>
          <w:rFonts w:hint="eastAsia" w:ascii="黑体" w:hAnsi="黑体" w:eastAsia="黑体"/>
          <w:sz w:val="32"/>
          <w:szCs w:val="32"/>
          <w:highlight w:val="none"/>
          <w:lang w:eastAsia="zh-CN"/>
        </w:rPr>
        <w:t>五</w:t>
      </w:r>
      <w:r>
        <w:rPr>
          <w:rFonts w:hint="eastAsia" w:ascii="黑体" w:hAnsi="黑体" w:eastAsia="黑体"/>
          <w:sz w:val="32"/>
          <w:szCs w:val="32"/>
          <w:highlight w:val="none"/>
        </w:rPr>
        <w:t>部分  名词解释</w:t>
      </w:r>
    </w:p>
    <w:p w14:paraId="54FBD141">
      <w:pPr>
        <w:keepNext w:val="0"/>
        <w:keepLines w:val="0"/>
        <w:pageBreakBefore w:val="0"/>
        <w:kinsoku/>
        <w:overflowPunct/>
        <w:topLinePunct w:val="0"/>
        <w:autoSpaceDE/>
        <w:autoSpaceDN/>
        <w:bidi w:val="0"/>
        <w:adjustRightInd w:val="0"/>
        <w:snapToGrid w:val="0"/>
        <w:spacing w:line="560" w:lineRule="exact"/>
        <w:ind w:firstLine="600" w:firstLineChars="200"/>
        <w:jc w:val="left"/>
        <w:textAlignment w:val="auto"/>
        <w:rPr>
          <w:rFonts w:hint="eastAsia" w:ascii="仿宋" w:hAnsi="仿宋" w:eastAsia="仿宋" w:cs="仿宋"/>
        </w:rPr>
      </w:pPr>
      <w:r>
        <w:rPr>
          <w:rFonts w:hint="eastAsia" w:ascii="仿宋" w:hAnsi="仿宋" w:eastAsia="仿宋" w:cs="仿宋"/>
          <w:sz w:val="30"/>
          <w:szCs w:val="30"/>
          <w:highlight w:val="none"/>
          <w:lang w:eastAsia="zh-CN"/>
        </w:rPr>
        <w:t>部门决算：各部门依据国家有关法律法规规定及其履行职能情况编制，反映部门所有预算收支和结余执行结果及绩效等情况的综合性年度报告，是改进部门预算执行以及编制后续年度部门预算的参考和依据。</w:t>
      </w:r>
    </w:p>
    <w:sectPr>
      <w:headerReference r:id="rId3" w:type="default"/>
      <w:footerReference r:id="rId4" w:type="default"/>
      <w:footerReference r:id="rId5" w:type="even"/>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A0891CC-3D95-4639-BDBD-F057959BA5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DA855D5-3FE1-4F1A-8F32-A98BA6189D01}"/>
  </w:font>
  <w:font w:name="Arial">
    <w:panose1 w:val="020B0604020202020204"/>
    <w:charset w:val="00"/>
    <w:family w:val="auto"/>
    <w:pitch w:val="default"/>
    <w:sig w:usb0="E0002EFF" w:usb1="C000785B" w:usb2="00000009" w:usb3="00000000" w:csb0="400001FF" w:csb1="FFFF0000"/>
    <w:embedRegular r:id="rId3" w:fontKey="{EF3FFDF1-7953-42E1-A34A-9BADC5792E52}"/>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00000000000000000"/>
    <w:charset w:val="86"/>
    <w:family w:val="script"/>
    <w:pitch w:val="default"/>
    <w:sig w:usb0="00000001" w:usb1="08000000" w:usb2="00000000" w:usb3="00000000" w:csb0="00040000" w:csb1="00000000"/>
    <w:embedRegular r:id="rId4" w:fontKey="{8691DCFE-9843-4CB5-9318-CDBB167DF00B}"/>
  </w:font>
  <w:font w:name="楷体">
    <w:panose1 w:val="02010609060101010101"/>
    <w:charset w:val="86"/>
    <w:family w:val="modern"/>
    <w:pitch w:val="default"/>
    <w:sig w:usb0="800002BF" w:usb1="38CF7CFA" w:usb2="00000016" w:usb3="00000000" w:csb0="00040001" w:csb1="00000000"/>
    <w:embedRegular r:id="rId5" w:fontKey="{5008B26B-4485-4F43-BEB8-2ECFD05CE4F5}"/>
  </w:font>
  <w:font w:name="方正黑体_GBK">
    <w:panose1 w:val="02010600010101010101"/>
    <w:charset w:val="86"/>
    <w:family w:val="auto"/>
    <w:pitch w:val="default"/>
    <w:sig w:usb0="00000001" w:usb1="080E0000" w:usb2="00000000" w:usb3="00000000" w:csb0="00040000" w:csb1="00000000"/>
    <w:embedRegular r:id="rId6" w:fontKey="{AF11B2B9-7839-4940-9FEB-ED2765F7FC62}"/>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800002BF" w:usb1="38CF7CFA" w:usb2="00000016" w:usb3="00000000" w:csb0="00040000" w:csb1="00000000"/>
    <w:embedRegular r:id="rId7" w:fontKey="{77BE9DFA-A927-404E-833B-0DFF514FE1A3}"/>
  </w:font>
  <w:font w:name="楷体_GB2312">
    <w:altName w:val="楷体"/>
    <w:panose1 w:val="02010609030101010101"/>
    <w:charset w:val="86"/>
    <w:family w:val="auto"/>
    <w:pitch w:val="default"/>
    <w:sig w:usb0="00000000" w:usb1="00000000" w:usb2="00000000" w:usb3="00000000" w:csb0="00040000" w:csb1="00000000"/>
    <w:embedRegular r:id="rId8" w:fontKey="{21276024-DF56-428C-A536-B0B1C0494D08}"/>
  </w:font>
  <w:font w:name="仿宋">
    <w:panose1 w:val="02010609060101010101"/>
    <w:charset w:val="86"/>
    <w:family w:val="auto"/>
    <w:pitch w:val="default"/>
    <w:sig w:usb0="800002BF" w:usb1="38CF7CFA" w:usb2="00000016" w:usb3="00000000" w:csb0="00040001" w:csb1="00000000"/>
    <w:embedRegular r:id="rId9" w:fontKey="{CA917C69-ADE3-4D44-827B-E4E6E66514B3}"/>
  </w:font>
  <w:font w:name="Calibri Light">
    <w:panose1 w:val="020F0302020204030204"/>
    <w:charset w:val="00"/>
    <w:family w:val="auto"/>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方正大黑体_GBK">
    <w:panose1 w:val="02010600010101010101"/>
    <w:charset w:val="86"/>
    <w:family w:val="auto"/>
    <w:pitch w:val="default"/>
    <w:sig w:usb0="00000001" w:usb1="080E0000" w:usb2="00000000" w:usb3="00000000" w:csb0="40040001" w:csb1="C0D6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DE62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54FCA5A">
                          <w:pPr>
                            <w:pStyle w:val="3"/>
                            <w:rPr>
                              <w:rStyle w:val="8"/>
                              <w:sz w:val="28"/>
                              <w:szCs w:val="28"/>
                            </w:rPr>
                          </w:pPr>
                          <w:r>
                            <w:rPr>
                              <w:rStyle w:val="8"/>
                              <w:sz w:val="28"/>
                              <w:szCs w:val="28"/>
                            </w:rPr>
                            <w:t xml:space="preserve">— </w:t>
                          </w:r>
                          <w:r>
                            <w:rPr>
                              <w:rStyle w:val="8"/>
                              <w:sz w:val="28"/>
                              <w:szCs w:val="28"/>
                            </w:rPr>
                            <w:fldChar w:fldCharType="begin"/>
                          </w:r>
                          <w:r>
                            <w:rPr>
                              <w:rStyle w:val="8"/>
                              <w:sz w:val="28"/>
                              <w:szCs w:val="28"/>
                            </w:rPr>
                            <w:instrText xml:space="preserve"> PAGE  \* MERGEFORMAT </w:instrText>
                          </w:r>
                          <w:r>
                            <w:rPr>
                              <w:rStyle w:val="8"/>
                              <w:sz w:val="28"/>
                              <w:szCs w:val="28"/>
                            </w:rPr>
                            <w:fldChar w:fldCharType="separate"/>
                          </w:r>
                          <w:r>
                            <w:rPr>
                              <w:rStyle w:val="8"/>
                              <w:sz w:val="28"/>
                              <w:szCs w:val="28"/>
                            </w:rPr>
                            <w:t>- 1 -</w:t>
                          </w:r>
                          <w:r>
                            <w:rPr>
                              <w:rStyle w:val="8"/>
                              <w:sz w:val="28"/>
                              <w:szCs w:val="28"/>
                            </w:rPr>
                            <w:fldChar w:fldCharType="end"/>
                          </w:r>
                          <w:r>
                            <w:rPr>
                              <w:rStyle w:val="8"/>
                              <w:sz w:val="28"/>
                              <w:szCs w:val="28"/>
                            </w:rPr>
                            <w:t xml:space="preserve"> —</w:t>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aGmCS9MAAAAFAQAADwAAAAAA&#10;AAABACAAAAAiAAAAZHJzL2Rvd25yZXYueG1sUEsBAhQAFAAAAAgAh07iQGJDhwTfAQAAvAMAAA4A&#10;AAAAAAAAAQAgAAAAIgEAAGRycy9lMm9Eb2MueG1sUEsFBgAAAAAGAAYAWQEAAHMFAAAAAA==&#10;">
              <v:fill on="f" focussize="0,0"/>
              <v:stroke on="f" weight="1.25pt"/>
              <v:imagedata o:title=""/>
              <o:lock v:ext="edit" aspectratio="f"/>
              <v:textbox inset="0mm,0mm,0mm,0mm" style="mso-fit-shape-to-text:t;">
                <w:txbxContent>
                  <w:p w14:paraId="354FCA5A">
                    <w:pPr>
                      <w:pStyle w:val="3"/>
                      <w:rPr>
                        <w:rStyle w:val="8"/>
                        <w:sz w:val="28"/>
                        <w:szCs w:val="28"/>
                      </w:rPr>
                    </w:pPr>
                    <w:r>
                      <w:rPr>
                        <w:rStyle w:val="8"/>
                        <w:sz w:val="28"/>
                        <w:szCs w:val="28"/>
                      </w:rPr>
                      <w:t xml:space="preserve">— </w:t>
                    </w:r>
                    <w:r>
                      <w:rPr>
                        <w:rStyle w:val="8"/>
                        <w:sz w:val="28"/>
                        <w:szCs w:val="28"/>
                      </w:rPr>
                      <w:fldChar w:fldCharType="begin"/>
                    </w:r>
                    <w:r>
                      <w:rPr>
                        <w:rStyle w:val="8"/>
                        <w:sz w:val="28"/>
                        <w:szCs w:val="28"/>
                      </w:rPr>
                      <w:instrText xml:space="preserve"> PAGE  \* MERGEFORMAT </w:instrText>
                    </w:r>
                    <w:r>
                      <w:rPr>
                        <w:rStyle w:val="8"/>
                        <w:sz w:val="28"/>
                        <w:szCs w:val="28"/>
                      </w:rPr>
                      <w:fldChar w:fldCharType="separate"/>
                    </w:r>
                    <w:r>
                      <w:rPr>
                        <w:rStyle w:val="8"/>
                        <w:sz w:val="28"/>
                        <w:szCs w:val="28"/>
                      </w:rPr>
                      <w:t>- 1 -</w:t>
                    </w:r>
                    <w:r>
                      <w:rPr>
                        <w:rStyle w:val="8"/>
                        <w:sz w:val="28"/>
                        <w:szCs w:val="28"/>
                      </w:rPr>
                      <w:fldChar w:fldCharType="end"/>
                    </w:r>
                    <w:r>
                      <w:rPr>
                        <w:rStyle w:val="8"/>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3DA53">
    <w:pPr>
      <w:pStyle w:val="3"/>
      <w:framePr w:wrap="around" w:vAnchor="text" w:hAnchor="margin" w:xAlign="center" w:y="1"/>
      <w:rPr>
        <w:rStyle w:val="8"/>
      </w:rPr>
    </w:pPr>
    <w:r>
      <w:rPr>
        <w:rStyle w:val="8"/>
      </w:rPr>
      <w:fldChar w:fldCharType="begin"/>
    </w:r>
    <w:r>
      <w:rPr>
        <w:rStyle w:val="8"/>
      </w:rPr>
      <w:instrText xml:space="preserve">PAGE  </w:instrText>
    </w:r>
    <w:r>
      <w:fldChar w:fldCharType="separate"/>
    </w:r>
    <w:r>
      <w:fldChar w:fldCharType="end"/>
    </w:r>
  </w:p>
  <w:p w14:paraId="095B987B">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C71DA">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MDA5ODA5MTA5MGFjMDM4YjY5NTI0ODY2MzIwYzMifQ=="/>
  </w:docVars>
  <w:rsids>
    <w:rsidRoot w:val="00000000"/>
    <w:rsid w:val="0AEA4082"/>
    <w:rsid w:val="1DD737EE"/>
    <w:rsid w:val="1DF90C60"/>
    <w:rsid w:val="1EAB2A15"/>
    <w:rsid w:val="1FDB7CF4"/>
    <w:rsid w:val="2DFF4ABC"/>
    <w:rsid w:val="2FFA4D89"/>
    <w:rsid w:val="37FE295A"/>
    <w:rsid w:val="3F9BB962"/>
    <w:rsid w:val="3FAD8595"/>
    <w:rsid w:val="3FCFBD11"/>
    <w:rsid w:val="3FDB17A0"/>
    <w:rsid w:val="3FFFA6FE"/>
    <w:rsid w:val="47FF0E25"/>
    <w:rsid w:val="537CA346"/>
    <w:rsid w:val="57EEF165"/>
    <w:rsid w:val="57FCAAAF"/>
    <w:rsid w:val="5BCF8691"/>
    <w:rsid w:val="5FB4EA28"/>
    <w:rsid w:val="61CB0541"/>
    <w:rsid w:val="61E8228A"/>
    <w:rsid w:val="67BC4248"/>
    <w:rsid w:val="6EBB58C8"/>
    <w:rsid w:val="6EBF0AB0"/>
    <w:rsid w:val="6EDF5A29"/>
    <w:rsid w:val="6FC75097"/>
    <w:rsid w:val="6FDFDC11"/>
    <w:rsid w:val="6FEEAB25"/>
    <w:rsid w:val="6FFF0D8D"/>
    <w:rsid w:val="73400CA4"/>
    <w:rsid w:val="75DFE4CE"/>
    <w:rsid w:val="767AA3DE"/>
    <w:rsid w:val="76F97C3B"/>
    <w:rsid w:val="77E8211A"/>
    <w:rsid w:val="789FBBA8"/>
    <w:rsid w:val="7AED5EC1"/>
    <w:rsid w:val="7AF7432A"/>
    <w:rsid w:val="7C1728A9"/>
    <w:rsid w:val="7DBA35BB"/>
    <w:rsid w:val="7DED35DA"/>
    <w:rsid w:val="7DF72558"/>
    <w:rsid w:val="7EF66462"/>
    <w:rsid w:val="7EFF2E8A"/>
    <w:rsid w:val="7EFF9DA0"/>
    <w:rsid w:val="7F736DE6"/>
    <w:rsid w:val="7FDF78FD"/>
    <w:rsid w:val="7FE30932"/>
    <w:rsid w:val="7FE7D62B"/>
    <w:rsid w:val="7FFB798D"/>
    <w:rsid w:val="7FFFAE7A"/>
    <w:rsid w:val="7FFFE0EA"/>
    <w:rsid w:val="7FFFFF93"/>
    <w:rsid w:val="8FDF90F8"/>
    <w:rsid w:val="8FFF9CCF"/>
    <w:rsid w:val="99EF2FE0"/>
    <w:rsid w:val="9B7F244A"/>
    <w:rsid w:val="9BFD684C"/>
    <w:rsid w:val="A93FC15D"/>
    <w:rsid w:val="ABBB8E26"/>
    <w:rsid w:val="AFEF442D"/>
    <w:rsid w:val="B1FFEB24"/>
    <w:rsid w:val="B7F6582C"/>
    <w:rsid w:val="BB17507F"/>
    <w:rsid w:val="BE5A99DF"/>
    <w:rsid w:val="BF7EEA58"/>
    <w:rsid w:val="C7675201"/>
    <w:rsid w:val="CD7B2A98"/>
    <w:rsid w:val="CF9EB366"/>
    <w:rsid w:val="CFFFADFE"/>
    <w:rsid w:val="D5E526C8"/>
    <w:rsid w:val="D7E017B9"/>
    <w:rsid w:val="DBDF3E37"/>
    <w:rsid w:val="DCFFB3DD"/>
    <w:rsid w:val="DDF5FD39"/>
    <w:rsid w:val="DEB3E040"/>
    <w:rsid w:val="DEED5E6D"/>
    <w:rsid w:val="DEFFC677"/>
    <w:rsid w:val="DF379BCA"/>
    <w:rsid w:val="E7FFF834"/>
    <w:rsid w:val="EBAD5E0B"/>
    <w:rsid w:val="EBEF8614"/>
    <w:rsid w:val="EE79AFE0"/>
    <w:rsid w:val="EEFD5D26"/>
    <w:rsid w:val="EFF93408"/>
    <w:rsid w:val="F3B5D7C0"/>
    <w:rsid w:val="F5DD86C7"/>
    <w:rsid w:val="F5F70944"/>
    <w:rsid w:val="F5FEBCA2"/>
    <w:rsid w:val="F5FFB890"/>
    <w:rsid w:val="F63F72EA"/>
    <w:rsid w:val="F6F74673"/>
    <w:rsid w:val="F73BDA51"/>
    <w:rsid w:val="F73FC66F"/>
    <w:rsid w:val="F77F9147"/>
    <w:rsid w:val="F7FE2B96"/>
    <w:rsid w:val="FAFE2323"/>
    <w:rsid w:val="FF4DA984"/>
    <w:rsid w:val="FFC95863"/>
    <w:rsid w:val="FFD21A5E"/>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93" w:beforeLines="30"/>
    </w:pPr>
    <w:rPr>
      <w:rFonts w:ascii="仿宋_GB2312" w:eastAsia="仿宋_GB2312"/>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xmlns="http://schemas.openxmlformats.org/officeDocument/2006/custom-properties" fmtid="{D5CDD505-2E9C-101B-9397-08002B2CF9AE}" pid="2" name="KSOProductBuildVer">
    <vt:lpwstr xmlns:vt="http://schemas.openxmlformats.org/officeDocument/2006/docPropsVTypes">2052-11.8.2.12309</vt:lpwstr>
  </property>
  <property xmlns="http://schemas.openxmlformats.org/officeDocument/2006/custom-properties" fmtid="{D5CDD505-2E9C-101B-9397-08002B2CF9AE}" pid="3" name="ICV">
    <vt:lpwstr xmlns:vt="http://schemas.openxmlformats.org/officeDocument/2006/docPropsVTypes">B04F57D4017C4AAC94730B3D75CAABE9</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b932df-285b-47e9-896e-77be079b509f}">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6624</Words>
  <Characters>7598</Characters>
  <Lines>0</Lines>
  <Paragraphs>0</Paragraphs>
  <TotalTime>45</TotalTime>
  <ScaleCrop>false</ScaleCrop>
  <LinksUpToDate>false</LinksUpToDate>
  <CharactersWithSpaces>7619</CharactersWithSpaces>
  <Application>WPS Office_12.1.0.18334_F1E327BC-269C-435d-A152-05C5408002CA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2025-06-29T17:23:00Z</dcterms:created>
  <dc:creator>jq</dc:creator>
  <cp:lastModifiedBy>马娟</cp:lastModifiedBy>
  <cp:lastPrinted>2026-10-14T11:29:00Z</cp:lastPrinted>
  <dcterms:modified xsi:type="dcterms:W3CDTF">2026-10-15T07:01:47Z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2052-12.1.0.18334</vt:lpwstr>
  </property>
  <property fmtid="{D5CDD505-2E9C-101B-9397-08002B2CF9AE}" pid="3" name="ICV">
    <vt:lpwstr>5412A449AB83A377C4F5CE6A49136373_43</vt:lpwstr>
  </property>
</Properties>
</file>