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30D89">
      <w:pPr>
        <w:pageBreakBefore w:val="0"/>
        <w:kinsoku/>
        <w:overflowPunct/>
        <w:topLinePunct w:val="0"/>
        <w:autoSpaceDE/>
        <w:autoSpaceDN/>
        <w:bidi w:val="0"/>
        <w:spacing w:line="590" w:lineRule="exact"/>
        <w:jc w:val="center"/>
        <w:textAlignment w:val="auto"/>
        <w:outlineLvl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lang w:val="zh-CN"/>
        </w:rPr>
        <w:t>华宁县文学艺术界联合会</w:t>
      </w:r>
      <w:r>
        <w:rPr>
          <w:rFonts w:hint="eastAsia" w:ascii="Times New Roman" w:hAnsi="Times New Roman" w:eastAsia="方正小标宋简体" w:cs="Times New Roman"/>
          <w:sz w:val="44"/>
          <w:szCs w:val="44"/>
          <w:highlight w:val="none"/>
          <w:lang w:val="en-US" w:eastAsia="zh-CN"/>
        </w:rPr>
        <w:t>2025年度</w:t>
      </w:r>
      <w:r>
        <w:rPr>
          <w:rFonts w:hint="default" w:ascii="Times New Roman" w:hAnsi="Times New Roman" w:eastAsia="方正小标宋简体" w:cs="Times New Roman"/>
          <w:sz w:val="44"/>
          <w:szCs w:val="44"/>
          <w:highlight w:val="none"/>
        </w:rPr>
        <w:t>部门决算</w:t>
      </w:r>
    </w:p>
    <w:p w14:paraId="05213E52">
      <w:pPr>
        <w:pageBreakBefore w:val="0"/>
        <w:kinsoku/>
        <w:overflowPunct/>
        <w:topLinePunct w:val="0"/>
        <w:autoSpaceDE/>
        <w:autoSpaceDN/>
        <w:bidi w:val="0"/>
        <w:spacing w:line="590" w:lineRule="exact"/>
        <w:jc w:val="center"/>
        <w:textAlignment w:val="auto"/>
        <w:outlineLvl w:val="0"/>
        <w:rPr>
          <w:rFonts w:hint="default"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目录</w:t>
      </w:r>
    </w:p>
    <w:p w14:paraId="79BA6AA0">
      <w:pPr>
        <w:pageBreakBefore w:val="0"/>
        <w:kinsoku/>
        <w:overflowPunct/>
        <w:topLinePunct w:val="0"/>
        <w:autoSpaceDE/>
        <w:autoSpaceDN/>
        <w:bidi w:val="0"/>
        <w:spacing w:line="590" w:lineRule="exact"/>
        <w:jc w:val="both"/>
        <w:textAlignment w:val="auto"/>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第一部分  部门概况</w:t>
      </w:r>
    </w:p>
    <w:p w14:paraId="2C14CE7A">
      <w:pPr>
        <w:pageBreakBefore w:val="0"/>
        <w:kinsoku/>
        <w:overflowPunct/>
        <w:topLinePunct w:val="0"/>
        <w:autoSpaceDE/>
        <w:autoSpaceDN/>
        <w:bidi w:val="0"/>
        <w:spacing w:line="590" w:lineRule="exact"/>
        <w:jc w:val="both"/>
        <w:textAlignment w:val="auto"/>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一、主要职责</w:t>
      </w:r>
    </w:p>
    <w:p w14:paraId="6783C947">
      <w:pPr>
        <w:pageBreakBefore w:val="0"/>
        <w:kinsoku/>
        <w:overflowPunct/>
        <w:topLinePunct w:val="0"/>
        <w:autoSpaceDE/>
        <w:autoSpaceDN/>
        <w:bidi w:val="0"/>
        <w:spacing w:line="590" w:lineRule="exact"/>
        <w:jc w:val="both"/>
        <w:textAlignment w:val="auto"/>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二、基本情况</w:t>
      </w:r>
    </w:p>
    <w:p w14:paraId="126495D6">
      <w:pPr>
        <w:pageBreakBefore w:val="0"/>
        <w:kinsoku/>
        <w:overflowPunct/>
        <w:topLinePunct w:val="0"/>
        <w:autoSpaceDE/>
        <w:autoSpaceDN/>
        <w:bidi w:val="0"/>
        <w:spacing w:line="590" w:lineRule="exact"/>
        <w:jc w:val="both"/>
        <w:textAlignment w:val="auto"/>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三、重点工作概述</w:t>
      </w:r>
    </w:p>
    <w:p w14:paraId="76B0DA39">
      <w:pPr>
        <w:pageBreakBefore w:val="0"/>
        <w:kinsoku/>
        <w:overflowPunct/>
        <w:topLinePunct w:val="0"/>
        <w:autoSpaceDE/>
        <w:autoSpaceDN/>
        <w:bidi w:val="0"/>
        <w:spacing w:line="590" w:lineRule="exact"/>
        <w:jc w:val="both"/>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Times New Roman"/>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5E99DF31">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一、收入支出决算表</w:t>
      </w:r>
    </w:p>
    <w:p w14:paraId="34B27613">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二、收入决算表</w:t>
      </w:r>
    </w:p>
    <w:p w14:paraId="73A05A5B">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三、支出决算表</w:t>
      </w:r>
    </w:p>
    <w:p w14:paraId="5412F73B">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四、财政拨款收入支出决算表</w:t>
      </w:r>
    </w:p>
    <w:p w14:paraId="1AA20708">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五、一般公共预算财政拨款收入支出决算表</w:t>
      </w:r>
    </w:p>
    <w:p w14:paraId="6844AC48">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六、一般公共预算财政拨款基本支出决算表</w:t>
      </w:r>
    </w:p>
    <w:p w14:paraId="7788D01C">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rPr>
        <w:t>七、</w:t>
      </w:r>
      <w:r>
        <w:rPr>
          <w:rFonts w:hint="eastAsia" w:ascii="Times New Roman" w:hAnsi="Times New Roman" w:eastAsia="方正楷体_GBK" w:cs="方正楷体_GBK"/>
          <w:sz w:val="32"/>
          <w:szCs w:val="32"/>
          <w:highlight w:val="none"/>
          <w:lang w:eastAsia="zh-CN"/>
        </w:rPr>
        <w:t>一般公共预算财政拨款项目支出决算表</w:t>
      </w:r>
    </w:p>
    <w:p w14:paraId="29C4C72B">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lang w:eastAsia="zh-CN"/>
        </w:rPr>
        <w:t>八</w:t>
      </w:r>
      <w:r>
        <w:rPr>
          <w:rFonts w:hint="eastAsia" w:ascii="Times New Roman" w:hAnsi="Times New Roman" w:eastAsia="方正楷体_GBK" w:cs="方正楷体_GBK"/>
          <w:sz w:val="32"/>
          <w:szCs w:val="32"/>
          <w:highlight w:val="none"/>
        </w:rPr>
        <w:t>、政府性基金预算财政拨款收入支出决算表</w:t>
      </w:r>
    </w:p>
    <w:p w14:paraId="6C5A44AB">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val="en-US" w:eastAsia="zh-CN"/>
        </w:rPr>
        <w:t>九、国有资本经营预算财政拨款收入支出决算表</w:t>
      </w:r>
    </w:p>
    <w:p w14:paraId="1AB93A76">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lang w:eastAsia="zh-CN"/>
        </w:rPr>
        <w:t>十</w:t>
      </w:r>
      <w:r>
        <w:rPr>
          <w:rFonts w:hint="eastAsia" w:ascii="Times New Roman" w:hAnsi="Times New Roman" w:eastAsia="方正楷体_GBK" w:cs="方正楷体_GBK"/>
          <w:sz w:val="32"/>
          <w:szCs w:val="32"/>
          <w:highlight w:val="none"/>
        </w:rPr>
        <w:t>、</w:t>
      </w:r>
      <w:r>
        <w:rPr>
          <w:rFonts w:hint="eastAsia" w:ascii="Times New Roman" w:hAnsi="Times New Roman" w:eastAsia="方正楷体_GBK" w:cs="方正楷体_GBK"/>
          <w:sz w:val="32"/>
          <w:szCs w:val="32"/>
          <w:highlight w:val="none"/>
          <w:lang w:eastAsia="zh-CN"/>
        </w:rPr>
        <w:t>财政拨款</w:t>
      </w:r>
      <w:r>
        <w:rPr>
          <w:rFonts w:hint="eastAsia" w:ascii="Times New Roman" w:hAnsi="Times New Roman" w:eastAsia="方正楷体_GBK" w:cs="方正楷体_GBK"/>
          <w:sz w:val="32"/>
          <w:szCs w:val="32"/>
          <w:highlight w:val="none"/>
        </w:rPr>
        <w:t>“三公”经费、行政参公单位机关运行经费情况表</w:t>
      </w:r>
    </w:p>
    <w:p w14:paraId="3AC99239">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lang w:val="en-US" w:eastAsia="zh-CN"/>
        </w:rPr>
        <w:t>十一、一般公共预算财政拨款“三公”经费情况表</w:t>
      </w:r>
    </w:p>
    <w:p w14:paraId="42D3AF6E">
      <w:pPr>
        <w:pageBreakBefore w:val="0"/>
        <w:kinsoku/>
        <w:overflowPunct/>
        <w:topLinePunct w:val="0"/>
        <w:autoSpaceDE/>
        <w:autoSpaceDN/>
        <w:bidi w:val="0"/>
        <w:spacing w:line="590" w:lineRule="exact"/>
        <w:jc w:val="both"/>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default" w:ascii="Times New Roman" w:hAnsi="Times New Roman" w:eastAsia="方正黑体_GBK" w:cs="Times New Roman"/>
          <w:sz w:val="32"/>
          <w:szCs w:val="32"/>
          <w:highlight w:val="none"/>
        </w:rPr>
        <w:t xml:space="preserve"> </w:t>
      </w:r>
      <w:r>
        <w:rPr>
          <w:rFonts w:hint="eastAsia" w:ascii="Times New Roman" w:hAnsi="Times New Roman" w:eastAsia="方正黑体_GBK" w:cs="Times New Roman"/>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055D3559">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一、收入决算情况说明</w:t>
      </w:r>
    </w:p>
    <w:p w14:paraId="6F4B07E9">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二、支出决算情况说明</w:t>
      </w:r>
    </w:p>
    <w:p w14:paraId="3BD731D3">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三、一般公共预算财政拨款支出决算情况说明</w:t>
      </w:r>
    </w:p>
    <w:p w14:paraId="4FDAC7DA">
      <w:pPr>
        <w:pageBreakBefore w:val="0"/>
        <w:widowControl/>
        <w:kinsoku/>
        <w:overflowPunct/>
        <w:topLinePunct w:val="0"/>
        <w:autoSpaceDE/>
        <w:autoSpaceDN/>
        <w:bidi w:val="0"/>
        <w:snapToGrid w:val="0"/>
        <w:spacing w:before="100" w:after="100" w:line="590" w:lineRule="exact"/>
        <w:jc w:val="both"/>
        <w:textAlignment w:val="auto"/>
        <w:outlineLvl w:val="1"/>
        <w:rPr>
          <w:rFonts w:hint="eastAsia" w:ascii="Times New Roman" w:hAnsi="Times New Roman" w:eastAsia="方正楷体_GBK" w:cs="方正楷体_GBK"/>
          <w:sz w:val="32"/>
          <w:szCs w:val="32"/>
          <w:highlight w:val="none"/>
        </w:rPr>
      </w:pPr>
      <w:r>
        <w:rPr>
          <w:rFonts w:hint="eastAsia" w:ascii="Times New Roman" w:hAnsi="Times New Roman" w:eastAsia="方正楷体_GBK" w:cs="方正楷体_GBK"/>
          <w:sz w:val="32"/>
          <w:szCs w:val="32"/>
          <w:highlight w:val="none"/>
        </w:rPr>
        <w:t>四、财政拨款“三公”经费支出决算情况说明</w:t>
      </w:r>
    </w:p>
    <w:p w14:paraId="6A035834">
      <w:pPr>
        <w:pageBreakBefore w:val="0"/>
        <w:widowControl/>
        <w:kinsoku/>
        <w:overflowPunct/>
        <w:topLinePunct w:val="0"/>
        <w:autoSpaceDE/>
        <w:autoSpaceDN/>
        <w:bidi w:val="0"/>
        <w:snapToGrid w:val="0"/>
        <w:spacing w:before="100" w:after="100" w:line="590" w:lineRule="exact"/>
        <w:jc w:val="both"/>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lang w:eastAsia="zh-CN"/>
        </w:rPr>
        <w:t>第四部分</w:t>
      </w:r>
      <w:r>
        <w:rPr>
          <w:rFonts w:hint="eastAsia" w:ascii="Times New Roman" w:hAnsi="Times New Roman" w:eastAsia="方正黑体_GBK" w:cs="方正黑体_GBK"/>
          <w:sz w:val="32"/>
          <w:szCs w:val="32"/>
          <w:highlight w:val="none"/>
          <w:lang w:val="en-US" w:eastAsia="zh-CN"/>
        </w:rPr>
        <w:t xml:space="preserve">  </w:t>
      </w:r>
      <w:r>
        <w:rPr>
          <w:rFonts w:hint="eastAsia" w:ascii="Times New Roman" w:hAnsi="Times New Roman" w:eastAsia="方正黑体_GBK" w:cs="方正黑体_GBK"/>
          <w:sz w:val="32"/>
          <w:szCs w:val="32"/>
          <w:highlight w:val="none"/>
        </w:rPr>
        <w:t>其他重要事项及相关口径情况说明</w:t>
      </w:r>
    </w:p>
    <w:p w14:paraId="1C4183F5">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一、</w:t>
      </w:r>
      <w:r>
        <w:rPr>
          <w:rFonts w:hint="eastAsia" w:ascii="Times New Roman" w:hAnsi="Times New Roman" w:eastAsia="方正楷体_GBK" w:cs="方正楷体_GBK"/>
          <w:sz w:val="32"/>
          <w:szCs w:val="32"/>
          <w:highlight w:val="none"/>
        </w:rPr>
        <w:t>机关运行经费支出情况</w:t>
      </w:r>
    </w:p>
    <w:p w14:paraId="2A2F1E1D">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二、</w:t>
      </w:r>
      <w:r>
        <w:rPr>
          <w:rFonts w:hint="eastAsia" w:ascii="Times New Roman" w:hAnsi="Times New Roman" w:eastAsia="方正楷体_GBK" w:cs="方正楷体_GBK"/>
          <w:sz w:val="32"/>
          <w:szCs w:val="32"/>
          <w:highlight w:val="none"/>
        </w:rPr>
        <w:t>国有资产占用情况</w:t>
      </w:r>
    </w:p>
    <w:p w14:paraId="41E8CF2B">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eastAsia="zh-CN"/>
        </w:rPr>
      </w:pPr>
      <w:r>
        <w:rPr>
          <w:rFonts w:hint="eastAsia" w:ascii="Times New Roman" w:hAnsi="Times New Roman" w:eastAsia="方正楷体_GBK" w:cs="方正楷体_GBK"/>
          <w:sz w:val="32"/>
          <w:szCs w:val="32"/>
          <w:highlight w:val="none"/>
          <w:lang w:eastAsia="zh-CN"/>
        </w:rPr>
        <w:t>三、</w:t>
      </w:r>
      <w:r>
        <w:rPr>
          <w:rFonts w:hint="eastAsia" w:ascii="Times New Roman" w:hAnsi="Times New Roman" w:eastAsia="方正楷体_GBK" w:cs="方正楷体_GBK"/>
          <w:sz w:val="32"/>
          <w:szCs w:val="32"/>
          <w:highlight w:val="none"/>
        </w:rPr>
        <w:t>政府采购支出情况</w:t>
      </w:r>
    </w:p>
    <w:p w14:paraId="6C05B59A">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eastAsia="zh-CN"/>
        </w:rPr>
        <w:t>四、</w:t>
      </w:r>
      <w:r>
        <w:rPr>
          <w:rFonts w:hint="eastAsia" w:ascii="Times New Roman" w:hAnsi="Times New Roman" w:eastAsia="方正楷体_GBK" w:cs="方正楷体_GBK"/>
          <w:sz w:val="32"/>
          <w:szCs w:val="32"/>
          <w:highlight w:val="none"/>
          <w:lang w:val="en-US" w:eastAsia="zh-CN"/>
        </w:rPr>
        <w:t>部门绩效自评情况</w:t>
      </w:r>
    </w:p>
    <w:p w14:paraId="14ABBA52">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eastAsia="zh-CN"/>
        </w:rPr>
        <w:t>五、</w:t>
      </w:r>
      <w:r>
        <w:rPr>
          <w:rFonts w:hint="eastAsia" w:ascii="Times New Roman" w:hAnsi="Times New Roman" w:eastAsia="方正楷体_GBK" w:cs="方正楷体_GBK"/>
          <w:sz w:val="32"/>
          <w:szCs w:val="32"/>
          <w:highlight w:val="none"/>
          <w:lang w:val="en-US" w:eastAsia="zh-CN"/>
        </w:rPr>
        <w:t>其他重要事项情况说明</w:t>
      </w:r>
    </w:p>
    <w:p w14:paraId="269D8E08">
      <w:pPr>
        <w:pageBreakBefore w:val="0"/>
        <w:kinsoku/>
        <w:overflowPunct/>
        <w:topLinePunct w:val="0"/>
        <w:autoSpaceDE/>
        <w:autoSpaceDN/>
        <w:bidi w:val="0"/>
        <w:spacing w:line="590" w:lineRule="exact"/>
        <w:jc w:val="both"/>
        <w:textAlignment w:val="auto"/>
        <w:outlineLvl w:val="1"/>
        <w:rPr>
          <w:rFonts w:hint="eastAsia" w:ascii="Times New Roman" w:hAnsi="Times New Roman" w:eastAsia="方正楷体_GBK" w:cs="方正楷体_GBK"/>
          <w:sz w:val="32"/>
          <w:szCs w:val="32"/>
          <w:highlight w:val="none"/>
          <w:lang w:val="en-US" w:eastAsia="zh-CN"/>
        </w:rPr>
      </w:pPr>
      <w:r>
        <w:rPr>
          <w:rFonts w:hint="eastAsia" w:ascii="Times New Roman" w:hAnsi="Times New Roman" w:eastAsia="方正楷体_GBK" w:cs="方正楷体_GBK"/>
          <w:sz w:val="32"/>
          <w:szCs w:val="32"/>
          <w:highlight w:val="none"/>
          <w:lang w:val="en-US" w:eastAsia="zh-CN"/>
        </w:rPr>
        <w:t>六、相关口径说明</w:t>
      </w:r>
    </w:p>
    <w:p w14:paraId="603E92E5">
      <w:pPr>
        <w:pageBreakBefore w:val="0"/>
        <w:widowControl/>
        <w:kinsoku/>
        <w:overflowPunct/>
        <w:topLinePunct w:val="0"/>
        <w:autoSpaceDE/>
        <w:autoSpaceDN/>
        <w:bidi w:val="0"/>
        <w:snapToGrid w:val="0"/>
        <w:spacing w:before="100" w:after="100" w:line="590" w:lineRule="exact"/>
        <w:jc w:val="both"/>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274E127B">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60FC41ED">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3855A4A3">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63F99206">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6CA0E092">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10CD9FDD">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0B1BCCF0">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0E024C99">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405291BB">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52F9656B">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15F8CF2E">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5F22F94C">
      <w:pPr>
        <w:pageBreakBefore w:val="0"/>
        <w:kinsoku/>
        <w:overflowPunct/>
        <w:topLinePunct w:val="0"/>
        <w:autoSpaceDE/>
        <w:autoSpaceDN/>
        <w:bidi w:val="0"/>
        <w:spacing w:line="590" w:lineRule="exact"/>
        <w:jc w:val="both"/>
        <w:textAlignment w:val="auto"/>
        <w:rPr>
          <w:rFonts w:hint="default" w:ascii="Times New Roman" w:hAnsi="Times New Roman" w:eastAsia="黑体" w:cs="Times New Roman"/>
          <w:sz w:val="32"/>
          <w:szCs w:val="32"/>
          <w:highlight w:val="none"/>
        </w:rPr>
      </w:pPr>
    </w:p>
    <w:p w14:paraId="55814E76">
      <w:pPr>
        <w:pageBreakBefore w:val="0"/>
        <w:kinsoku/>
        <w:overflowPunct/>
        <w:topLinePunct w:val="0"/>
        <w:autoSpaceDE/>
        <w:autoSpaceDN/>
        <w:bidi w:val="0"/>
        <w:spacing w:line="590" w:lineRule="exact"/>
        <w:jc w:val="both"/>
        <w:textAlignment w:val="auto"/>
        <w:outlineLvl w:val="0"/>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5398350A">
      <w:pPr>
        <w:pageBreakBefore w:val="0"/>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rPr>
        <w:t>一、主要</w:t>
      </w:r>
      <w:r>
        <w:rPr>
          <w:rFonts w:hint="eastAsia" w:ascii="Times New Roman" w:hAnsi="Times New Roman" w:eastAsia="方正黑体_GBK" w:cs="方正黑体_GBK"/>
          <w:sz w:val="32"/>
          <w:szCs w:val="32"/>
          <w:highlight w:val="none"/>
          <w:lang w:eastAsia="zh-CN"/>
        </w:rPr>
        <w:t>职责</w:t>
      </w:r>
    </w:p>
    <w:p w14:paraId="5749504F">
      <w:pPr>
        <w:pStyle w:val="3"/>
        <w:pageBreakBefore w:val="0"/>
        <w:kinsoku/>
        <w:overflowPunct/>
        <w:topLinePunct w:val="0"/>
        <w:autoSpaceDE/>
        <w:autoSpaceDN/>
        <w:bidi w:val="0"/>
        <w:adjustRightInd w:val="0"/>
        <w:snapToGrid w:val="0"/>
        <w:spacing w:line="590" w:lineRule="exact"/>
        <w:ind w:firstLine="672" w:firstLineChars="210"/>
        <w:jc w:val="both"/>
        <w:textAlignment w:val="auto"/>
        <w:rPr>
          <w:rFonts w:hint="eastAsia" w:ascii="Times New Roman" w:hAnsi="Times New Roman" w:eastAsia="方正仿宋_GBK" w:cs="方正仿宋_GBK"/>
          <w:bCs/>
          <w:sz w:val="32"/>
          <w:szCs w:val="32"/>
          <w:highlight w:val="none"/>
        </w:rPr>
      </w:pPr>
      <w:r>
        <w:rPr>
          <w:rFonts w:hint="eastAsia" w:ascii="Times New Roman" w:hAnsi="Times New Roman" w:eastAsia="方正仿宋_GBK" w:cs="方正仿宋_GBK"/>
          <w:i w:val="0"/>
          <w:iCs w:val="0"/>
          <w:caps w:val="0"/>
          <w:color w:val="000000"/>
          <w:spacing w:val="0"/>
          <w:sz w:val="32"/>
          <w:szCs w:val="32"/>
        </w:rPr>
        <w:t>华宁县文学艺术界联合会是县委领导下的群众性专业文学艺术团体，是华宁县各文学艺术协会的联合组织。文联要坚持党的基本路线，坚持为人民服务，为社会主义服务的方向和“百花齐放，百家争鸣”的方针，团结和依靠全县广大文艺工作者，发展和繁荣我县的社会主义文艺事业。</w:t>
      </w:r>
    </w:p>
    <w:p w14:paraId="1C374330">
      <w:pPr>
        <w:pageBreakBefore w:val="0"/>
        <w:numPr>
          <w:ilvl w:val="0"/>
          <w:numId w:val="1"/>
        </w:numPr>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sz w:val="32"/>
          <w:szCs w:val="32"/>
          <w:highlight w:val="none"/>
          <w:lang w:eastAsia="zh-CN"/>
        </w:rPr>
        <w:t>部门基本情况</w:t>
      </w:r>
    </w:p>
    <w:p w14:paraId="39DFCF19">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eastAsia="zh-CN"/>
        </w:rPr>
        <w:t>（一）机构设置情况</w:t>
      </w:r>
    </w:p>
    <w:p w14:paraId="7E1C2A1D">
      <w:pPr>
        <w:pageBreakBefore w:val="0"/>
        <w:kinsoku/>
        <w:overflowPunct/>
        <w:topLinePunct w:val="0"/>
        <w:autoSpaceDE/>
        <w:autoSpaceDN/>
        <w:bidi w:val="0"/>
        <w:spacing w:line="590" w:lineRule="exact"/>
        <w:ind w:firstLine="640" w:firstLineChars="200"/>
        <w:textAlignment w:val="auto"/>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lang w:val="en-US"/>
        </w:rPr>
        <w:t>我部门共设置</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rPr>
        <w:t>个内设机构，</w:t>
      </w:r>
      <w:r>
        <w:rPr>
          <w:rFonts w:hint="default" w:ascii="Times New Roman" w:hAnsi="Times New Roman" w:eastAsia="方正仿宋_GBK" w:cs="Times New Roman"/>
          <w:sz w:val="32"/>
          <w:szCs w:val="32"/>
        </w:rPr>
        <w:t>办公室</w:t>
      </w:r>
      <w:r>
        <w:rPr>
          <w:rFonts w:hint="default" w:ascii="Times New Roman" w:hAnsi="Times New Roman" w:eastAsia="方正仿宋_GBK" w:cs="Times New Roman"/>
          <w:sz w:val="32"/>
          <w:szCs w:val="32"/>
          <w:lang w:val="en-US"/>
        </w:rPr>
        <w:t>。所属单位</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val="en-US"/>
        </w:rPr>
        <w:t>个。</w:t>
      </w:r>
    </w:p>
    <w:p w14:paraId="482CD6BE">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eastAsia="zh-CN"/>
        </w:rPr>
        <w:t>（二）决算单位构成情况</w:t>
      </w:r>
    </w:p>
    <w:p w14:paraId="179BFC91">
      <w:pPr>
        <w:pageBreakBefore w:val="0"/>
        <w:kinsoku/>
        <w:overflowPunct/>
        <w:topLinePunct w:val="0"/>
        <w:autoSpaceDE/>
        <w:autoSpaceDN/>
        <w:bidi w:val="0"/>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纳入我</w:t>
      </w:r>
      <w:r>
        <w:rPr>
          <w:rFonts w:hint="eastAsia" w:ascii="Times New Roman" w:hAnsi="Times New Roman" w:eastAsia="方正仿宋_GBK" w:cs="Times New Roman"/>
          <w:sz w:val="32"/>
          <w:szCs w:val="32"/>
          <w:lang w:eastAsia="zh-CN"/>
        </w:rPr>
        <w:t>2025年度</w:t>
      </w:r>
      <w:r>
        <w:rPr>
          <w:rFonts w:hint="default" w:ascii="Times New Roman" w:hAnsi="Times New Roman" w:eastAsia="方正仿宋_GBK" w:cs="Times New Roman"/>
          <w:sz w:val="32"/>
          <w:szCs w:val="32"/>
        </w:rPr>
        <w:t>部门决算编报的单位共1个，即：</w:t>
      </w:r>
      <w:r>
        <w:rPr>
          <w:rFonts w:hint="default" w:ascii="Times New Roman" w:hAnsi="Times New Roman" w:eastAsia="方正仿宋_GBK" w:cs="Times New Roman"/>
          <w:sz w:val="32"/>
          <w:szCs w:val="32"/>
          <w:lang w:val="zh-CN"/>
        </w:rPr>
        <w:t>华宁县文学艺术界联合会</w:t>
      </w:r>
      <w:r>
        <w:rPr>
          <w:rFonts w:hint="default" w:ascii="Times New Roman" w:hAnsi="Times New Roman" w:eastAsia="方正仿宋_GBK" w:cs="Times New Roman"/>
          <w:sz w:val="32"/>
          <w:szCs w:val="32"/>
        </w:rPr>
        <w:t>。其中：行政单位</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个，参照公务员法管理的事业单位</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个，其他事业单位0个。</w:t>
      </w:r>
    </w:p>
    <w:p w14:paraId="7D9C50E4">
      <w:pPr>
        <w:pageBreakBefore w:val="0"/>
        <w:kinsoku/>
        <w:overflowPunct/>
        <w:topLinePunct w:val="0"/>
        <w:autoSpaceDE/>
        <w:autoSpaceDN/>
        <w:bidi w:val="0"/>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纳入我部门</w:t>
      </w:r>
      <w:r>
        <w:rPr>
          <w:rFonts w:hint="eastAsia" w:ascii="Times New Roman" w:hAnsi="Times New Roman" w:eastAsia="方正仿宋_GBK" w:cs="Times New Roman"/>
          <w:sz w:val="32"/>
          <w:szCs w:val="32"/>
          <w:lang w:eastAsia="zh-CN"/>
        </w:rPr>
        <w:t>2025年度</w:t>
      </w:r>
      <w:r>
        <w:rPr>
          <w:rFonts w:hint="default" w:ascii="Times New Roman" w:hAnsi="Times New Roman" w:eastAsia="方正仿宋_GBK" w:cs="Times New Roman"/>
          <w:sz w:val="32"/>
          <w:szCs w:val="32"/>
        </w:rPr>
        <w:t>部门决算编报的单位与我部门所属单位范围保持一致。</w:t>
      </w:r>
    </w:p>
    <w:p w14:paraId="455D9CAA">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default" w:ascii="Times New Roman" w:hAnsi="Times New Roman" w:eastAsia="方正楷体_GBK" w:cs="Times New Roman"/>
          <w:sz w:val="32"/>
          <w:szCs w:val="32"/>
          <w:highlight w:val="none"/>
          <w:lang w:eastAsia="zh-CN"/>
        </w:rPr>
      </w:pPr>
      <w:r>
        <w:rPr>
          <w:rFonts w:hint="default" w:ascii="Times New Roman" w:hAnsi="Times New Roman" w:eastAsia="方正楷体_GBK" w:cs="Times New Roman"/>
          <w:sz w:val="32"/>
          <w:szCs w:val="32"/>
          <w:highlight w:val="none"/>
          <w:lang w:eastAsia="zh-CN"/>
        </w:rPr>
        <w:t>（三）部门人员和车辆的编制及实有情况</w:t>
      </w:r>
    </w:p>
    <w:p w14:paraId="1428C480">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eastAsia="zh-CN"/>
        </w:rPr>
      </w:pPr>
      <w:r>
        <w:rPr>
          <w:rFonts w:hint="default" w:ascii="Times New Roman" w:hAnsi="Times New Roman" w:eastAsia="方正仿宋_GBK" w:cs="Times New Roman"/>
          <w:sz w:val="32"/>
          <w:szCs w:val="32"/>
          <w:highlight w:val="none"/>
          <w:lang w:eastAsia="zh-CN"/>
        </w:rPr>
        <w:t>我</w:t>
      </w:r>
      <w:r>
        <w:rPr>
          <w:rFonts w:hint="default" w:ascii="Times New Roman" w:hAnsi="Times New Roman" w:eastAsia="方正仿宋_GBK" w:cs="Times New Roman"/>
          <w:sz w:val="32"/>
          <w:szCs w:val="32"/>
          <w:highlight w:val="none"/>
        </w:rPr>
        <w:t>部门</w:t>
      </w:r>
      <w:r>
        <w:rPr>
          <w:rFonts w:hint="default" w:ascii="Times New Roman" w:hAnsi="Times New Roman" w:eastAsia="方正仿宋_GBK" w:cs="Times New Roman"/>
          <w:sz w:val="32"/>
          <w:szCs w:val="32"/>
          <w:highlight w:val="none"/>
          <w:lang w:val="en-US" w:eastAsia="zh-CN"/>
        </w:rPr>
        <w:t>202</w:t>
      </w:r>
      <w:r>
        <w:rPr>
          <w:rFonts w:hint="eastAsia"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年末</w:t>
      </w:r>
      <w:r>
        <w:rPr>
          <w:rFonts w:hint="default" w:ascii="Times New Roman" w:hAnsi="Times New Roman" w:eastAsia="方正仿宋_GBK" w:cs="Times New Roman"/>
          <w:sz w:val="32"/>
          <w:szCs w:val="32"/>
          <w:highlight w:val="none"/>
          <w:lang w:eastAsia="zh-CN"/>
        </w:rPr>
        <w:t>编制内</w:t>
      </w:r>
      <w:r>
        <w:rPr>
          <w:rFonts w:hint="default" w:ascii="Times New Roman" w:hAnsi="Times New Roman" w:eastAsia="方正仿宋_GBK" w:cs="Times New Roman"/>
          <w:sz w:val="32"/>
          <w:szCs w:val="32"/>
          <w:highlight w:val="none"/>
        </w:rPr>
        <w:t>实有人员</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b w:val="0"/>
          <w:bCs w:val="0"/>
          <w:kern w:val="0"/>
          <w:sz w:val="32"/>
          <w:szCs w:val="32"/>
          <w:highlight w:val="none"/>
          <w:lang w:eastAsia="zh-CN"/>
        </w:rPr>
        <w:t>包括</w:t>
      </w:r>
      <w:r>
        <w:rPr>
          <w:rFonts w:hint="default" w:ascii="Times New Roman" w:hAnsi="Times New Roman" w:eastAsia="方正仿宋_GBK" w:cs="Times New Roman"/>
          <w:kern w:val="0"/>
          <w:sz w:val="32"/>
          <w:szCs w:val="32"/>
          <w:highlight w:val="none"/>
          <w:lang w:eastAsia="zh-CN"/>
        </w:rPr>
        <w:t>财政拨款开支经费的</w:t>
      </w:r>
      <w:r>
        <w:rPr>
          <w:rFonts w:hint="default" w:ascii="Times New Roman" w:hAnsi="Times New Roman" w:eastAsia="方正仿宋_GBK" w:cs="Times New Roman"/>
          <w:kern w:val="0"/>
          <w:sz w:val="32"/>
          <w:szCs w:val="32"/>
          <w:highlight w:val="none"/>
        </w:rPr>
        <w:t>：</w:t>
      </w:r>
      <w:r>
        <w:rPr>
          <w:rFonts w:hint="default" w:ascii="Times New Roman" w:hAnsi="Times New Roman" w:eastAsia="方正仿宋_GBK" w:cs="Times New Roman"/>
          <w:kern w:val="0"/>
          <w:sz w:val="32"/>
          <w:szCs w:val="32"/>
          <w:highlight w:val="none"/>
          <w:lang w:eastAsia="zh-CN"/>
        </w:rPr>
        <w:t>公务员</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kern w:val="0"/>
          <w:sz w:val="32"/>
          <w:szCs w:val="32"/>
          <w:highlight w:val="none"/>
          <w:lang w:eastAsia="zh-CN"/>
        </w:rPr>
        <w:t>参照公务员法管理人员</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kern w:val="0"/>
          <w:sz w:val="32"/>
          <w:szCs w:val="32"/>
          <w:highlight w:val="none"/>
          <w:lang w:eastAsia="zh-CN"/>
        </w:rPr>
        <w:t>，</w:t>
      </w:r>
      <w:r>
        <w:rPr>
          <w:rFonts w:hint="default" w:ascii="Times New Roman" w:hAnsi="Times New Roman" w:eastAsia="方正仿宋_GBK" w:cs="Times New Roman"/>
          <w:kern w:val="0"/>
          <w:sz w:val="32"/>
          <w:szCs w:val="32"/>
          <w:highlight w:val="none"/>
        </w:rPr>
        <w:t>事业管理人员和专业技术人员</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人，机关和事业工人</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kern w:val="0"/>
          <w:sz w:val="32"/>
          <w:szCs w:val="32"/>
          <w:highlight w:val="none"/>
          <w:lang w:eastAsia="zh-CN"/>
        </w:rPr>
        <w:t>；经费自理人员</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kern w:val="0"/>
          <w:sz w:val="32"/>
          <w:szCs w:val="32"/>
          <w:highlight w:val="none"/>
          <w:lang w:eastAsia="zh-CN"/>
        </w:rPr>
        <w:t>。</w:t>
      </w:r>
    </w:p>
    <w:p w14:paraId="1BC790ED">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sz w:val="32"/>
          <w:szCs w:val="32"/>
          <w:highlight w:val="none"/>
          <w:lang w:eastAsia="zh-CN"/>
        </w:rPr>
        <w:t>我</w:t>
      </w:r>
      <w:r>
        <w:rPr>
          <w:rFonts w:hint="default" w:ascii="Times New Roman" w:hAnsi="Times New Roman" w:eastAsia="方正仿宋_GBK" w:cs="Times New Roman"/>
          <w:sz w:val="32"/>
          <w:szCs w:val="32"/>
          <w:highlight w:val="none"/>
        </w:rPr>
        <w:t>部门</w:t>
      </w:r>
      <w:r>
        <w:rPr>
          <w:rFonts w:hint="eastAsia" w:ascii="Times New Roman" w:hAnsi="Times New Roman" w:eastAsia="方正仿宋_GBK" w:cs="Times New Roman"/>
          <w:sz w:val="32"/>
          <w:szCs w:val="32"/>
          <w:highlight w:val="none"/>
          <w:lang w:val="en-US" w:eastAsia="zh-CN"/>
        </w:rPr>
        <w:t>2025年</w:t>
      </w:r>
      <w:r>
        <w:rPr>
          <w:rFonts w:hint="default" w:ascii="Times New Roman" w:hAnsi="Times New Roman" w:eastAsia="方正仿宋_GBK" w:cs="Times New Roman"/>
          <w:sz w:val="32"/>
          <w:szCs w:val="32"/>
          <w:highlight w:val="none"/>
        </w:rPr>
        <w:t>末</w:t>
      </w:r>
      <w:r>
        <w:rPr>
          <w:rFonts w:hint="default" w:ascii="Times New Roman" w:hAnsi="Times New Roman" w:eastAsia="方正仿宋_GBK" w:cs="Times New Roman"/>
          <w:sz w:val="32"/>
          <w:szCs w:val="32"/>
          <w:highlight w:val="none"/>
          <w:lang w:eastAsia="zh-CN"/>
        </w:rPr>
        <w:t>其他人员</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sz w:val="32"/>
          <w:szCs w:val="32"/>
          <w:highlight w:val="none"/>
          <w:lang w:val="en-US" w:eastAsia="zh-CN"/>
        </w:rPr>
        <w:t>人。包括财政拨款开支经费的人员</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sz w:val="32"/>
          <w:szCs w:val="32"/>
          <w:highlight w:val="none"/>
          <w:lang w:eastAsia="zh-CN"/>
        </w:rPr>
        <w:t>人；经费自理人员</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sz w:val="32"/>
          <w:szCs w:val="32"/>
          <w:highlight w:val="none"/>
          <w:lang w:eastAsia="zh-CN"/>
        </w:rPr>
        <w:t>人。</w:t>
      </w:r>
    </w:p>
    <w:p w14:paraId="5324F710">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lang w:eastAsia="zh-CN"/>
        </w:rPr>
        <w:t>年末尚未移交</w:t>
      </w:r>
      <w:r>
        <w:rPr>
          <w:rFonts w:hint="default" w:ascii="Times New Roman" w:hAnsi="Times New Roman" w:eastAsia="方正仿宋_GBK" w:cs="Times New Roman"/>
          <w:kern w:val="0"/>
          <w:sz w:val="32"/>
          <w:szCs w:val="32"/>
          <w:highlight w:val="none"/>
        </w:rPr>
        <w:t>养老保险基金发放养老金的离退休人员</w:t>
      </w:r>
      <w:r>
        <w:rPr>
          <w:rFonts w:hint="default" w:ascii="Times New Roman" w:hAnsi="Times New Roman" w:eastAsia="方正仿宋_GBK" w:cs="Times New Roman"/>
          <w:kern w:val="0"/>
          <w:sz w:val="32"/>
          <w:szCs w:val="32"/>
          <w:highlight w:val="none"/>
          <w:lang w:eastAsia="zh-CN"/>
        </w:rPr>
        <w:t>共计</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kern w:val="0"/>
          <w:sz w:val="32"/>
          <w:szCs w:val="32"/>
          <w:highlight w:val="none"/>
          <w:lang w:eastAsia="zh-CN"/>
        </w:rPr>
        <w:t>（</w:t>
      </w:r>
      <w:r>
        <w:rPr>
          <w:rFonts w:hint="default" w:ascii="Times New Roman" w:hAnsi="Times New Roman" w:eastAsia="方正仿宋_GBK" w:cs="Times New Roman"/>
          <w:kern w:val="0"/>
          <w:sz w:val="32"/>
          <w:szCs w:val="32"/>
          <w:highlight w:val="none"/>
        </w:rPr>
        <w:t>离休</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人，退休</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kern w:val="0"/>
          <w:sz w:val="32"/>
          <w:szCs w:val="32"/>
          <w:highlight w:val="none"/>
          <w:lang w:eastAsia="zh-CN"/>
        </w:rPr>
        <w:t>）。年末</w:t>
      </w:r>
      <w:r>
        <w:rPr>
          <w:rFonts w:hint="default" w:ascii="Times New Roman" w:hAnsi="Times New Roman" w:eastAsia="方正仿宋_GBK" w:cs="Times New Roman"/>
          <w:kern w:val="0"/>
          <w:sz w:val="32"/>
          <w:szCs w:val="32"/>
          <w:highlight w:val="none"/>
        </w:rPr>
        <w:t>由养老保险基金发放养老金的离退休人员</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kern w:val="0"/>
          <w:sz w:val="32"/>
          <w:szCs w:val="32"/>
          <w:highlight w:val="none"/>
          <w:lang w:val="en-US" w:eastAsia="zh-CN"/>
        </w:rPr>
        <w:t>人</w:t>
      </w:r>
      <w:r>
        <w:rPr>
          <w:rFonts w:hint="default" w:ascii="Times New Roman" w:hAnsi="Times New Roman" w:eastAsia="方正仿宋_GBK" w:cs="Times New Roman"/>
          <w:kern w:val="0"/>
          <w:sz w:val="32"/>
          <w:szCs w:val="32"/>
          <w:highlight w:val="none"/>
          <w:lang w:eastAsia="zh-CN"/>
        </w:rPr>
        <w:t>（</w:t>
      </w:r>
      <w:r>
        <w:rPr>
          <w:rFonts w:hint="default" w:ascii="Times New Roman" w:hAnsi="Times New Roman" w:eastAsia="方正仿宋_GBK" w:cs="Times New Roman"/>
          <w:kern w:val="0"/>
          <w:sz w:val="32"/>
          <w:szCs w:val="32"/>
          <w:highlight w:val="none"/>
        </w:rPr>
        <w:t>离休</w:t>
      </w:r>
      <w:r>
        <w:rPr>
          <w:rFonts w:hint="default"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kern w:val="0"/>
          <w:sz w:val="32"/>
          <w:szCs w:val="32"/>
          <w:highlight w:val="none"/>
        </w:rPr>
        <w:t>人，退休</w:t>
      </w: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kern w:val="0"/>
          <w:sz w:val="32"/>
          <w:szCs w:val="32"/>
          <w:highlight w:val="none"/>
        </w:rPr>
        <w:t>人</w:t>
      </w:r>
      <w:r>
        <w:rPr>
          <w:rFonts w:hint="default" w:ascii="Times New Roman" w:hAnsi="Times New Roman" w:eastAsia="方正仿宋_GBK" w:cs="Times New Roman"/>
          <w:kern w:val="0"/>
          <w:sz w:val="32"/>
          <w:szCs w:val="32"/>
          <w:highlight w:val="none"/>
          <w:lang w:eastAsia="zh-CN"/>
        </w:rPr>
        <w:t>）</w:t>
      </w:r>
      <w:r>
        <w:rPr>
          <w:rFonts w:hint="default" w:ascii="Times New Roman" w:hAnsi="Times New Roman" w:eastAsia="方正仿宋_GBK" w:cs="Times New Roman"/>
          <w:kern w:val="0"/>
          <w:sz w:val="32"/>
          <w:szCs w:val="32"/>
          <w:highlight w:val="none"/>
        </w:rPr>
        <w:t>。</w:t>
      </w:r>
    </w:p>
    <w:p w14:paraId="34B324D9">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车辆编制0辆，在编实有车辆0辆。</w:t>
      </w:r>
    </w:p>
    <w:p w14:paraId="5A6FFE35">
      <w:pPr>
        <w:pageBreakBefore w:val="0"/>
        <w:numPr>
          <w:ilvl w:val="0"/>
          <w:numId w:val="1"/>
        </w:numPr>
        <w:kinsoku/>
        <w:overflowPunct/>
        <w:topLinePunct w:val="0"/>
        <w:autoSpaceDE/>
        <w:autoSpaceDN/>
        <w:bidi w:val="0"/>
        <w:spacing w:line="590" w:lineRule="exact"/>
        <w:ind w:firstLine="640" w:firstLineChars="200"/>
        <w:jc w:val="both"/>
        <w:textAlignment w:val="auto"/>
        <w:outlineLvl w:val="1"/>
        <w:rPr>
          <w:rFonts w:hint="default" w:ascii="Times New Roman" w:hAnsi="Times New Roman" w:eastAsia="方正黑体_GBK" w:cs="方正黑体_GBK"/>
          <w:sz w:val="32"/>
          <w:szCs w:val="32"/>
          <w:highlight w:val="none"/>
          <w:lang w:val="en-US" w:eastAsia="zh-CN"/>
        </w:rPr>
      </w:pPr>
      <w:r>
        <w:rPr>
          <w:rFonts w:hint="default" w:ascii="Times New Roman" w:hAnsi="Times New Roman" w:eastAsia="方正黑体_GBK" w:cs="方正黑体_GBK"/>
          <w:sz w:val="32"/>
          <w:szCs w:val="32"/>
          <w:highlight w:val="none"/>
          <w:lang w:val="en-US" w:eastAsia="zh-CN"/>
        </w:rPr>
        <w:t>重点工作概述</w:t>
      </w:r>
    </w:p>
    <w:p w14:paraId="591F384A">
      <w:pPr>
        <w:pageBreakBefore w:val="0"/>
        <w:numPr>
          <w:ilvl w:val="0"/>
          <w:numId w:val="0"/>
        </w:numPr>
        <w:kinsoku/>
        <w:overflowPunct/>
        <w:topLinePunct w:val="0"/>
        <w:autoSpaceDE/>
        <w:autoSpaceDN/>
        <w:bidi w:val="0"/>
        <w:spacing w:line="590" w:lineRule="exact"/>
        <w:ind w:firstLine="640" w:firstLineChars="200"/>
        <w:jc w:val="both"/>
        <w:textAlignment w:val="auto"/>
        <w:rPr>
          <w:rFonts w:hint="eastAsia" w:ascii="Times New Roman" w:hAnsi="Times New Roman" w:eastAsia="方正楷体_GBK" w:cs="方正楷体_GBK"/>
          <w:b w:val="0"/>
          <w:bCs w:val="0"/>
          <w:sz w:val="32"/>
          <w:szCs w:val="32"/>
          <w:highlight w:val="none"/>
          <w:u w:val="none"/>
          <w:lang w:val="en-US" w:eastAsia="zh-CN"/>
        </w:rPr>
      </w:pPr>
      <w:r>
        <w:rPr>
          <w:rFonts w:hint="eastAsia" w:ascii="Times New Roman" w:hAnsi="Times New Roman" w:eastAsia="方正楷体_GBK" w:cs="方正楷体_GBK"/>
          <w:b w:val="0"/>
          <w:bCs w:val="0"/>
          <w:sz w:val="32"/>
          <w:szCs w:val="32"/>
          <w:highlight w:val="none"/>
          <w:u w:val="none"/>
          <w:lang w:val="en-US" w:eastAsia="zh-CN"/>
        </w:rPr>
        <w:t>当年取得的主要事业成效。</w:t>
      </w:r>
    </w:p>
    <w:p w14:paraId="6A6FC553">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全年共开展集中学习9次，参加线上培训3次，把学习贯彻习近平新时代中国特色社会主义思想作为首要政治任务，重点系统学习贯彻习近平文化思想、习近平总书记考察云南重要讲话精神、《习近平谈治国理政》第五卷等内容。认真组织开展深入贯彻中央八项规定精神学习教育。</w:t>
      </w:r>
    </w:p>
    <w:p w14:paraId="02D58B3D">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1.开展赠春联活动6次。在春节来临之际，先后组织书法家160余人次，深入乡镇、村社区、机关企业等单位现场书写赠送群众春联6530副。</w:t>
      </w:r>
    </w:p>
    <w:p w14:paraId="477A30FD">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2.举办书画摄影展6次。举办庆祝中国人民政治协商会议成立75周年书画展、“墨韵三县·艺绘华章”美术书法巡展暨 2025 年春节书画展、“我们的中国梦——文化进万家”走进盘溪书法作品展、全市书法邀请展、华宁县纪念中国人民抗日战争暨世界反法西斯战争胜利80周年网络书法展、“故乡原风景——华宁县百年老照片展”，吸引观展群众6000余人次。</w:t>
      </w:r>
    </w:p>
    <w:p w14:paraId="6E545DFC">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3.组织开展文艺进校园活动2次。到青龙中学开展书法现场教学、书写经典诗词，让学生加深对中华优秀传统文化的认识和了解。到宁州街道阿路本小学开展诗联书画进校园培训活动，现场赠送书法作品200余幅，受益师生200余人。</w:t>
      </w:r>
    </w:p>
    <w:p w14:paraId="11C9DEA4">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4.开展采风创作活动3次。组织县美术家协会会员与来自玉溪市美协、昆明市美协、风景画学会会员开展采风创作交流活动2次。组织楹联学会会员到周家花园采风，创作诗联作品，并由书家创作成书法作品。</w:t>
      </w:r>
    </w:p>
    <w:p w14:paraId="575F3816">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5.组织开展征文征稿活动6次。开展纪念中国人民抗日战争暨世界反法西斯战争胜利80周年主题征文、“生态中国.幸福画卷”主题征文；开展“好在玉溪365”栏目图片、“千村万景我的摄影秀”主题活动、玉溪市第十届“碧玉清溪是我家”书法作品展、玉溪市2025年繁荣艺术（美术、书法、摄影）创作作品征集等活动。</w:t>
      </w:r>
    </w:p>
    <w:p w14:paraId="458E7479">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6.联合开展文艺活动7次。与相关部门联合举办华宁县“民族团结故事我来讲”主题演讲比赛、学习贯彻习近平总书记考察云南</w:t>
      </w:r>
      <w:r>
        <w:rPr>
          <w:rFonts w:hint="eastAsia" w:eastAsia="方正仿宋_GBK" w:cs="Times New Roman"/>
          <w:b w:val="0"/>
          <w:bCs w:val="0"/>
          <w:sz w:val="32"/>
          <w:szCs w:val="32"/>
          <w:highlight w:val="none"/>
          <w:u w:val="none"/>
          <w:lang w:val="en-US" w:eastAsia="zh-CN"/>
        </w:rPr>
        <w:t>重要</w:t>
      </w:r>
      <w:bookmarkStart w:id="0" w:name="_GoBack"/>
      <w:bookmarkEnd w:id="0"/>
      <w:r>
        <w:rPr>
          <w:rFonts w:hint="default" w:ascii="Times New Roman" w:hAnsi="Times New Roman" w:eastAsia="方正仿宋_GBK" w:cs="Times New Roman"/>
          <w:b w:val="0"/>
          <w:bCs w:val="0"/>
          <w:sz w:val="32"/>
          <w:szCs w:val="32"/>
          <w:highlight w:val="none"/>
          <w:u w:val="none"/>
          <w:lang w:val="en-US" w:eastAsia="zh-CN"/>
        </w:rPr>
        <w:t>讲话精神基层巡回宣讲、共度2025年“‘宁’聚群‘粽’情 共绘同心圆”端午节等新时代文明实践、“传承弘扬中医药文化 提升群众健康素养”社会科普、华宁县首个全国科普月主场、华宁县“大社工群团组织”助力居民小区治理2025年“情暖金秋，爱在宁泉”活动、华宁县2025年“强国学习正当时•华言青语脱口秀”活动。</w:t>
      </w:r>
    </w:p>
    <w:p w14:paraId="311DC672">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 w:val="0"/>
          <w:bCs w:val="0"/>
          <w:sz w:val="32"/>
          <w:szCs w:val="32"/>
          <w:highlight w:val="none"/>
          <w:u w:val="none"/>
          <w:lang w:val="en-US" w:eastAsia="zh-CN"/>
        </w:rPr>
      </w:pPr>
      <w:r>
        <w:rPr>
          <w:rFonts w:hint="default" w:ascii="Times New Roman" w:hAnsi="Times New Roman" w:eastAsia="方正仿宋_GBK" w:cs="Times New Roman"/>
          <w:b w:val="0"/>
          <w:bCs w:val="0"/>
          <w:sz w:val="32"/>
          <w:szCs w:val="32"/>
          <w:highlight w:val="none"/>
          <w:u w:val="none"/>
          <w:lang w:val="en-US" w:eastAsia="zh-CN"/>
        </w:rPr>
        <w:t>7.开展文艺培训活动1次。2025年7月14日至18日，组织华宁县文联书法、美术、音乐家协会在县文化馆开展公益培训，培训人数600余人次。</w:t>
      </w:r>
    </w:p>
    <w:p w14:paraId="484222E9">
      <w:pPr>
        <w:pageBreakBefore w:val="0"/>
        <w:kinsoku/>
        <w:overflowPunct/>
        <w:topLinePunct w:val="0"/>
        <w:autoSpaceDE/>
        <w:autoSpaceDN/>
        <w:bidi w:val="0"/>
        <w:spacing w:line="590" w:lineRule="exact"/>
        <w:jc w:val="both"/>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69B37029">
      <w:pPr>
        <w:pageBreakBefore w:val="0"/>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（详见附件）</w:t>
      </w:r>
    </w:p>
    <w:p w14:paraId="0AC63FE3">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eastAsia" w:ascii="Times New Roman" w:hAnsi="Times New Roman" w:eastAsia="方正仿宋_GBK" w:cs="方正仿宋_GBK"/>
          <w:color w:val="auto"/>
          <w:sz w:val="32"/>
          <w:szCs w:val="32"/>
          <w:lang w:val="en-US"/>
        </w:rPr>
        <w:t>本部门</w:t>
      </w:r>
      <w:r>
        <w:rPr>
          <w:rFonts w:hint="eastAsia" w:ascii="Times New Roman" w:hAnsi="Times New Roman" w:eastAsia="方正仿宋_GBK" w:cs="Times New Roman"/>
          <w:color w:val="auto"/>
          <w:sz w:val="32"/>
          <w:szCs w:val="32"/>
          <w:lang w:val="en-US" w:eastAsia="zh-CN"/>
        </w:rPr>
        <w:t>2025年度</w:t>
      </w:r>
      <w:r>
        <w:rPr>
          <w:rFonts w:hint="eastAsia" w:ascii="Times New Roman" w:hAnsi="Times New Roman" w:eastAsia="方正仿宋_GBK" w:cs="方正仿宋_GBK"/>
          <w:color w:val="auto"/>
          <w:sz w:val="32"/>
          <w:szCs w:val="32"/>
          <w:lang w:val="en-US"/>
        </w:rPr>
        <w:t>无国有资本经营预算财政拨款收入</w:t>
      </w:r>
      <w:r>
        <w:rPr>
          <w:rFonts w:hint="eastAsia" w:ascii="Times New Roman" w:hAnsi="Times New Roman" w:eastAsia="方正仿宋_GBK" w:cs="方正仿宋_GBK"/>
          <w:color w:val="auto"/>
          <w:sz w:val="32"/>
          <w:szCs w:val="32"/>
          <w:lang w:val="en-US" w:eastAsia="zh-CN"/>
        </w:rPr>
        <w:t>、政府性基金预算财政拨款收入、无“三公”经费</w:t>
      </w:r>
      <w:r>
        <w:rPr>
          <w:rFonts w:hint="eastAsia" w:ascii="Times New Roman" w:hAnsi="Times New Roman" w:eastAsia="方正仿宋_GBK" w:cs="方正仿宋_GBK"/>
          <w:color w:val="auto"/>
          <w:sz w:val="32"/>
          <w:szCs w:val="32"/>
          <w:lang w:val="en-US"/>
        </w:rPr>
        <w:t>，</w:t>
      </w:r>
      <w:r>
        <w:rPr>
          <w:rFonts w:hint="eastAsia" w:ascii="Times New Roman" w:hAnsi="Times New Roman" w:eastAsia="方正仿宋_GBK" w:cs="方正仿宋_GBK"/>
          <w:color w:val="auto"/>
          <w:sz w:val="32"/>
          <w:szCs w:val="32"/>
          <w:lang w:val="en-US" w:eastAsia="zh-CN"/>
        </w:rPr>
        <w:t>无项目支出。所以</w:t>
      </w:r>
      <w:r>
        <w:rPr>
          <w:rFonts w:hint="eastAsia" w:ascii="Times New Roman" w:hAnsi="Times New Roman" w:eastAsia="方正仿宋_GBK" w:cs="方正仿宋_GBK"/>
          <w:color w:val="auto"/>
          <w:sz w:val="32"/>
          <w:szCs w:val="32"/>
          <w:lang w:val="en-US"/>
        </w:rPr>
        <w:t>《国有资本经营预算财政拨款收入支出决算表》</w:t>
      </w:r>
      <w:r>
        <w:rPr>
          <w:rFonts w:hint="eastAsia" w:ascii="Times New Roman" w:hAnsi="Times New Roman" w:eastAsia="方正仿宋_GBK" w:cs="方正仿宋_GBK"/>
          <w:color w:val="auto"/>
          <w:sz w:val="32"/>
          <w:szCs w:val="32"/>
          <w:lang w:val="en-US" w:eastAsia="zh-CN"/>
        </w:rPr>
        <w:t>、《政府性基金预算财政拨款收入支出决算表》、《一般公共预算财政拨款“三公”经费情况表》</w:t>
      </w:r>
      <w:r>
        <w:rPr>
          <w:rFonts w:hint="eastAsia" w:ascii="Times New Roman" w:hAnsi="Times New Roman" w:eastAsia="方正仿宋_GBK" w:cs="方正仿宋_GBK"/>
          <w:color w:val="auto"/>
          <w:sz w:val="32"/>
          <w:szCs w:val="32"/>
          <w:lang w:val="en-US"/>
        </w:rPr>
        <w:t>为空表。</w:t>
      </w:r>
    </w:p>
    <w:p w14:paraId="66DEFCAC">
      <w:pPr>
        <w:pageBreakBefore w:val="0"/>
        <w:kinsoku/>
        <w:overflowPunct/>
        <w:topLinePunct w:val="0"/>
        <w:autoSpaceDE/>
        <w:autoSpaceDN/>
        <w:bidi w:val="0"/>
        <w:spacing w:line="590" w:lineRule="exact"/>
        <w:jc w:val="both"/>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5FDDD59D">
      <w:pPr>
        <w:pageBreakBefore w:val="0"/>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一、收入决算情况说明</w:t>
      </w:r>
    </w:p>
    <w:p w14:paraId="056280E8">
      <w:pPr>
        <w:keepNext/>
        <w:keepLines/>
        <w:pageBreakBefore w:val="0"/>
        <w:kinsoku/>
        <w:overflowPunct/>
        <w:topLinePunct w:val="0"/>
        <w:autoSpaceDE/>
        <w:autoSpaceDN/>
        <w:bidi w:val="0"/>
        <w:spacing w:beforeLines="0" w:afterLines="0" w:line="590" w:lineRule="exact"/>
        <w:ind w:firstLine="6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auto"/>
          <w:sz w:val="32"/>
          <w:szCs w:val="32"/>
          <w:lang w:val="zh-CN"/>
        </w:rPr>
        <w:t>华宁县文学艺术界联合会</w:t>
      </w:r>
      <w:r>
        <w:rPr>
          <w:rFonts w:hint="eastAsia" w:ascii="Times New Roman" w:hAnsi="Times New Roman" w:eastAsia="方正仿宋_GBK" w:cs="Times New Roman"/>
          <w:sz w:val="32"/>
          <w:szCs w:val="32"/>
          <w:highlight w:val="none"/>
          <w:lang w:val="en-US" w:eastAsia="zh-CN"/>
        </w:rPr>
        <w:t>2025年度</w:t>
      </w:r>
      <w:r>
        <w:rPr>
          <w:rFonts w:hint="default" w:ascii="Times New Roman" w:hAnsi="Times New Roman" w:eastAsia="方正仿宋_GBK" w:cs="Times New Roman"/>
          <w:sz w:val="32"/>
          <w:szCs w:val="32"/>
          <w:highlight w:val="none"/>
        </w:rPr>
        <w:t>收入合计</w:t>
      </w:r>
      <w:r>
        <w:rPr>
          <w:rFonts w:hint="default" w:ascii="Times New Roman" w:hAnsi="Times New Roman" w:eastAsia="方正仿宋_GBK" w:cs="Times New Roman"/>
          <w:color w:val="auto"/>
          <w:sz w:val="32"/>
          <w:szCs w:val="32"/>
          <w:lang w:val="zh-CN"/>
        </w:rPr>
        <w:t>526</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auto"/>
          <w:sz w:val="32"/>
          <w:szCs w:val="32"/>
          <w:lang w:val="zh-CN"/>
        </w:rPr>
        <w:t>850.42</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。其中：财政拨款收入</w:t>
      </w:r>
      <w:r>
        <w:rPr>
          <w:rFonts w:hint="default" w:ascii="Times New Roman" w:hAnsi="Times New Roman" w:eastAsia="方正仿宋_GBK" w:cs="Times New Roman"/>
          <w:color w:val="auto"/>
          <w:sz w:val="32"/>
          <w:szCs w:val="32"/>
          <w:lang w:val="zh-CN"/>
        </w:rPr>
        <w:t>526</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auto"/>
          <w:sz w:val="32"/>
          <w:szCs w:val="32"/>
          <w:lang w:val="zh-CN"/>
        </w:rPr>
        <w:t>850.42</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，占总收入的</w:t>
      </w:r>
      <w:r>
        <w:rPr>
          <w:rFonts w:hint="default" w:ascii="Times New Roman" w:hAnsi="Times New Roman" w:eastAsia="方正仿宋_GBK" w:cs="Times New Roman"/>
          <w:color w:val="auto"/>
          <w:sz w:val="32"/>
          <w:szCs w:val="32"/>
          <w:lang w:val="zh-CN"/>
        </w:rPr>
        <w:t>100.00</w:t>
      </w:r>
      <w:r>
        <w:rPr>
          <w:rFonts w:hint="default" w:ascii="Times New Roman" w:hAnsi="Times New Roman" w:eastAsia="方正仿宋_GBK" w:cs="Times New Roman"/>
          <w:sz w:val="32"/>
          <w:szCs w:val="32"/>
          <w:highlight w:val="none"/>
        </w:rPr>
        <w:t>%；上级补助收入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rPr>
        <w:t>%；事业收入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lang w:eastAsia="zh-CN"/>
        </w:rPr>
        <w:t>元（含教育收费</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rPr>
        <w:t>%；经营收入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rPr>
        <w:t>%；附属单位</w:t>
      </w:r>
      <w:r>
        <w:rPr>
          <w:rFonts w:hint="default" w:ascii="Times New Roman" w:hAnsi="Times New Roman" w:eastAsia="方正仿宋_GBK" w:cs="Times New Roman"/>
          <w:sz w:val="32"/>
          <w:szCs w:val="32"/>
          <w:highlight w:val="none"/>
          <w:lang w:eastAsia="zh-CN"/>
        </w:rPr>
        <w:t>上缴</w:t>
      </w:r>
      <w:r>
        <w:rPr>
          <w:rFonts w:hint="default" w:ascii="Times New Roman" w:hAnsi="Times New Roman" w:eastAsia="方正仿宋_GBK" w:cs="Times New Roman"/>
          <w:sz w:val="32"/>
          <w:szCs w:val="32"/>
          <w:highlight w:val="none"/>
        </w:rPr>
        <w:t>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rPr>
        <w:t>%；其他收入</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，占总收入的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sz w:val="32"/>
          <w:szCs w:val="32"/>
          <w:highlight w:val="none"/>
        </w:rPr>
        <w:t>%。</w:t>
      </w:r>
    </w:p>
    <w:p w14:paraId="6D796043">
      <w:pPr>
        <w:pageBreakBefore w:val="0"/>
        <w:widowControl/>
        <w:kinsoku/>
        <w:overflowPunct/>
        <w:topLinePunct w:val="0"/>
        <w:autoSpaceDE/>
        <w:autoSpaceDN/>
        <w:bidi w:val="0"/>
        <w:snapToGrid w:val="0"/>
        <w:spacing w:before="100" w:after="100" w:line="590" w:lineRule="exact"/>
        <w:ind w:firstLine="538"/>
        <w:jc w:val="both"/>
        <w:textAlignment w:val="auto"/>
        <w:rPr>
          <w:rFonts w:hint="default" w:ascii="Times New Roman" w:hAnsi="Times New Roman" w:eastAsia="方正仿宋_GBK" w:cs="Times New Roman"/>
          <w:color w:val="FF0000"/>
          <w:kern w:val="0"/>
          <w:sz w:val="32"/>
          <w:szCs w:val="32"/>
          <w:highlight w:val="none"/>
        </w:rPr>
      </w:pPr>
      <w:r>
        <w:rPr>
          <w:rFonts w:hint="default" w:ascii="Times New Roman" w:hAnsi="Times New Roman" w:eastAsia="方正仿宋_GBK" w:cs="Times New Roman"/>
          <w:sz w:val="32"/>
          <w:szCs w:val="32"/>
          <w:highlight w:val="none"/>
        </w:rPr>
        <w:t>与上年</w:t>
      </w:r>
      <w:r>
        <w:rPr>
          <w:rFonts w:hint="default" w:ascii="Times New Roman" w:hAnsi="Times New Roman" w:eastAsia="方正仿宋_GBK" w:cs="Times New Roman"/>
          <w:sz w:val="32"/>
          <w:szCs w:val="32"/>
          <w:highlight w:val="none"/>
          <w:lang w:eastAsia="zh-CN"/>
        </w:rPr>
        <w:t>相比，</w:t>
      </w:r>
      <w:r>
        <w:rPr>
          <w:rFonts w:hint="default" w:ascii="Times New Roman" w:hAnsi="Times New Roman" w:eastAsia="方正仿宋_GBK" w:cs="Times New Roman"/>
          <w:sz w:val="32"/>
          <w:szCs w:val="32"/>
          <w:highlight w:val="none"/>
        </w:rPr>
        <w:t>收入合计</w:t>
      </w:r>
      <w:r>
        <w:rPr>
          <w:rFonts w:hint="eastAsia" w:ascii="Times New Roman" w:hAnsi="Times New Roman" w:eastAsia="方正仿宋_GBK" w:cs="Times New Roman"/>
          <w:sz w:val="32"/>
          <w:szCs w:val="32"/>
          <w:highlight w:val="none"/>
          <w:lang w:eastAsia="zh-CN"/>
        </w:rPr>
        <w:t>减少</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auto"/>
          <w:sz w:val="32"/>
          <w:szCs w:val="32"/>
          <w:lang w:val="en-US" w:eastAsia="zh-CN"/>
        </w:rPr>
        <w:t>688.63</w:t>
      </w:r>
      <w:r>
        <w:rPr>
          <w:rFonts w:hint="default" w:ascii="Times New Roman" w:hAnsi="Times New Roman" w:eastAsia="方正仿宋_GBK" w:cs="Times New Roman"/>
          <w:sz w:val="32"/>
          <w:szCs w:val="32"/>
          <w:highlight w:val="none"/>
          <w:lang w:eastAsia="zh-CN"/>
        </w:rPr>
        <w:t>元，</w:t>
      </w:r>
      <w:r>
        <w:rPr>
          <w:rFonts w:hint="eastAsia" w:ascii="Times New Roman" w:hAnsi="Times New Roman" w:eastAsia="方正仿宋_GBK" w:cs="Times New Roman"/>
          <w:sz w:val="32"/>
          <w:szCs w:val="32"/>
          <w:highlight w:val="none"/>
          <w:lang w:eastAsia="zh-CN"/>
        </w:rPr>
        <w:t>降低</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zh-CN"/>
        </w:rPr>
        <w:t>.</w:t>
      </w:r>
      <w:r>
        <w:rPr>
          <w:rFonts w:hint="eastAsia" w:ascii="Times New Roman" w:hAnsi="Times New Roman" w:eastAsia="方正仿宋_GBK" w:cs="Times New Roman"/>
          <w:color w:val="auto"/>
          <w:sz w:val="32"/>
          <w:szCs w:val="32"/>
          <w:lang w:val="en-US" w:eastAsia="zh-CN"/>
        </w:rPr>
        <w:t>99</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。其中：</w:t>
      </w:r>
      <w:r>
        <w:rPr>
          <w:rFonts w:hint="default" w:ascii="Times New Roman" w:hAnsi="Times New Roman" w:eastAsia="方正仿宋_GBK" w:cs="Times New Roman"/>
          <w:sz w:val="32"/>
          <w:szCs w:val="32"/>
          <w:highlight w:val="none"/>
        </w:rPr>
        <w:t>财政拨款收入</w:t>
      </w:r>
      <w:r>
        <w:rPr>
          <w:rFonts w:hint="eastAsia" w:ascii="Times New Roman" w:hAnsi="Times New Roman" w:eastAsia="方正仿宋_GBK" w:cs="Times New Roman"/>
          <w:sz w:val="32"/>
          <w:szCs w:val="32"/>
          <w:highlight w:val="none"/>
          <w:lang w:eastAsia="zh-CN"/>
        </w:rPr>
        <w:t>减少</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auto"/>
          <w:sz w:val="32"/>
          <w:szCs w:val="32"/>
          <w:lang w:val="en-US" w:eastAsia="zh-CN"/>
        </w:rPr>
        <w:t>688.63</w:t>
      </w:r>
      <w:r>
        <w:rPr>
          <w:rFonts w:hint="default" w:ascii="Times New Roman" w:hAnsi="Times New Roman" w:eastAsia="方正仿宋_GBK" w:cs="Times New Roman"/>
          <w:sz w:val="32"/>
          <w:szCs w:val="32"/>
          <w:highlight w:val="none"/>
          <w:lang w:eastAsia="zh-CN"/>
        </w:rPr>
        <w:t>元，</w:t>
      </w:r>
      <w:r>
        <w:rPr>
          <w:rFonts w:hint="eastAsia" w:ascii="Times New Roman" w:hAnsi="Times New Roman" w:eastAsia="方正仿宋_GBK" w:cs="Times New Roman"/>
          <w:sz w:val="32"/>
          <w:szCs w:val="32"/>
          <w:highlight w:val="none"/>
          <w:lang w:eastAsia="zh-CN"/>
        </w:rPr>
        <w:t>降低</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zh-CN"/>
        </w:rPr>
        <w:t>.</w:t>
      </w:r>
      <w:r>
        <w:rPr>
          <w:rFonts w:hint="eastAsia" w:ascii="Times New Roman" w:hAnsi="Times New Roman" w:eastAsia="方正仿宋_GBK" w:cs="Times New Roman"/>
          <w:color w:val="auto"/>
          <w:sz w:val="32"/>
          <w:szCs w:val="32"/>
          <w:lang w:val="en-US" w:eastAsia="zh-CN"/>
        </w:rPr>
        <w:t>99</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主要原因</w:t>
      </w:r>
      <w:r>
        <w:rPr>
          <w:rFonts w:hint="default" w:ascii="Times New Roman" w:hAnsi="Times New Roman" w:eastAsia="方正仿宋_GBK" w:cs="Times New Roman"/>
          <w:sz w:val="32"/>
          <w:szCs w:val="32"/>
          <w:highlight w:val="none"/>
          <w:lang w:eastAsia="zh-CN"/>
        </w:rPr>
        <w:t>是</w:t>
      </w:r>
      <w:r>
        <w:rPr>
          <w:rFonts w:hint="eastAsia" w:ascii="Times New Roman" w:hAnsi="Times New Roman" w:eastAsia="方正仿宋_GBK" w:cs="Times New Roman"/>
          <w:color w:val="auto"/>
          <w:sz w:val="32"/>
          <w:szCs w:val="32"/>
          <w:lang w:val="en-US" w:eastAsia="zh-CN"/>
        </w:rPr>
        <w:t>2025年调入人员职级低</w:t>
      </w:r>
      <w:r>
        <w:rPr>
          <w:rFonts w:hint="default" w:ascii="Times New Roman" w:hAnsi="Times New Roman" w:eastAsia="方正仿宋_GBK" w:cs="Times New Roman"/>
          <w:color w:val="000000"/>
          <w:sz w:val="32"/>
          <w:szCs w:val="32"/>
          <w:lang w:val="en-US" w:eastAsia="zh-CN"/>
        </w:rPr>
        <w:t>工资调</w:t>
      </w:r>
      <w:r>
        <w:rPr>
          <w:rFonts w:hint="eastAsia" w:ascii="Times New Roman" w:hAnsi="Times New Roman" w:eastAsia="方正仿宋_GBK" w:cs="Times New Roman"/>
          <w:color w:val="000000"/>
          <w:sz w:val="32"/>
          <w:szCs w:val="32"/>
          <w:lang w:val="en-US" w:eastAsia="zh-CN"/>
        </w:rPr>
        <w:t>减</w:t>
      </w:r>
      <w:r>
        <w:rPr>
          <w:rFonts w:hint="default" w:ascii="Times New Roman" w:hAnsi="Times New Roman" w:eastAsia="方正仿宋_GBK" w:cs="Times New Roman"/>
          <w:color w:val="000000"/>
          <w:sz w:val="32"/>
          <w:szCs w:val="32"/>
          <w:lang w:val="en-US" w:eastAsia="zh-CN"/>
        </w:rPr>
        <w:t>，所以</w:t>
      </w:r>
      <w:r>
        <w:rPr>
          <w:rFonts w:hint="eastAsia" w:ascii="Times New Roman" w:hAnsi="Times New Roman" w:eastAsia="方正仿宋_GBK" w:cs="Times New Roman"/>
          <w:color w:val="auto"/>
          <w:sz w:val="32"/>
          <w:szCs w:val="32"/>
          <w:lang w:val="en-US" w:eastAsia="zh-CN"/>
        </w:rPr>
        <w:t>2025年</w:t>
      </w:r>
      <w:r>
        <w:rPr>
          <w:rFonts w:hint="default" w:ascii="Times New Roman" w:hAnsi="Times New Roman" w:eastAsia="方正仿宋_GBK" w:cs="Times New Roman"/>
          <w:color w:val="000000"/>
          <w:sz w:val="32"/>
          <w:szCs w:val="32"/>
          <w:lang w:val="en-US" w:eastAsia="zh-CN"/>
        </w:rPr>
        <w:t>的本年收入</w:t>
      </w:r>
      <w:r>
        <w:rPr>
          <w:rFonts w:hint="eastAsia" w:ascii="Times New Roman" w:hAnsi="Times New Roman" w:eastAsia="方正仿宋_GBK" w:cs="Times New Roman"/>
          <w:color w:val="000000"/>
          <w:sz w:val="32"/>
          <w:szCs w:val="32"/>
          <w:lang w:val="en-US" w:eastAsia="zh-CN"/>
        </w:rPr>
        <w:t>减少</w:t>
      </w:r>
      <w:r>
        <w:rPr>
          <w:rFonts w:hint="default" w:ascii="Times New Roman" w:hAnsi="Times New Roman" w:eastAsia="方正仿宋_GBK" w:cs="Times New Roman"/>
          <w:color w:val="000000"/>
          <w:sz w:val="32"/>
          <w:szCs w:val="32"/>
          <w:lang w:val="en-US" w:eastAsia="zh-CN"/>
        </w:rPr>
        <w:t>。</w:t>
      </w:r>
    </w:p>
    <w:p w14:paraId="2DABB477">
      <w:pPr>
        <w:pageBreakBefore w:val="0"/>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二、支出决算情况说明</w:t>
      </w:r>
    </w:p>
    <w:p w14:paraId="35D2C75B">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color w:val="auto"/>
          <w:sz w:val="32"/>
          <w:szCs w:val="32"/>
          <w:lang w:val="zh-CN"/>
        </w:rPr>
        <w:t>华宁县文学艺术界联合会</w:t>
      </w:r>
      <w:r>
        <w:rPr>
          <w:rFonts w:hint="eastAsia" w:ascii="Times New Roman" w:hAnsi="Times New Roman" w:eastAsia="方正仿宋_GBK" w:cs="Times New Roman"/>
          <w:sz w:val="32"/>
          <w:szCs w:val="32"/>
          <w:highlight w:val="none"/>
          <w:lang w:val="en-US" w:eastAsia="zh-CN"/>
        </w:rPr>
        <w:t>2025年度</w:t>
      </w:r>
      <w:r>
        <w:rPr>
          <w:rFonts w:hint="default" w:ascii="Times New Roman" w:hAnsi="Times New Roman" w:eastAsia="方正仿宋_GBK" w:cs="Times New Roman"/>
          <w:sz w:val="32"/>
          <w:szCs w:val="32"/>
          <w:highlight w:val="none"/>
        </w:rPr>
        <w:t>支出合计</w:t>
      </w:r>
      <w:r>
        <w:rPr>
          <w:rFonts w:hint="default" w:ascii="Times New Roman" w:hAnsi="Times New Roman" w:eastAsia="方正仿宋_GBK" w:cs="Times New Roman"/>
          <w:color w:val="auto"/>
          <w:sz w:val="32"/>
          <w:szCs w:val="32"/>
          <w:lang w:val="zh-CN"/>
        </w:rPr>
        <w:t>526</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auto"/>
          <w:sz w:val="32"/>
          <w:szCs w:val="32"/>
          <w:lang w:val="zh-CN"/>
        </w:rPr>
        <w:t>850.42</w:t>
      </w:r>
      <w:r>
        <w:rPr>
          <w:rFonts w:hint="default" w:ascii="Times New Roman" w:hAnsi="Times New Roman" w:eastAsia="方正仿宋_GBK" w:cs="Times New Roman"/>
          <w:sz w:val="32"/>
          <w:szCs w:val="32"/>
          <w:highlight w:val="none"/>
          <w:lang w:eastAsia="zh-CN"/>
        </w:rPr>
        <w:t>元</w:t>
      </w:r>
      <w:r>
        <w:rPr>
          <w:rFonts w:hint="default" w:ascii="Times New Roman" w:hAnsi="Times New Roman" w:eastAsia="方正仿宋_GBK" w:cs="Times New Roman"/>
          <w:sz w:val="32"/>
          <w:szCs w:val="32"/>
          <w:highlight w:val="none"/>
        </w:rPr>
        <w:t>。其中：</w:t>
      </w:r>
      <w:r>
        <w:rPr>
          <w:rFonts w:hint="default" w:ascii="Times New Roman" w:hAnsi="Times New Roman" w:eastAsia="方正仿宋_GBK" w:cs="Times New Roman"/>
          <w:kern w:val="0"/>
          <w:sz w:val="32"/>
          <w:szCs w:val="32"/>
          <w:highlight w:val="none"/>
        </w:rPr>
        <w:t>基本支出</w:t>
      </w:r>
      <w:r>
        <w:rPr>
          <w:rFonts w:hint="default" w:ascii="Times New Roman" w:hAnsi="Times New Roman" w:eastAsia="方正仿宋_GBK" w:cs="Times New Roman"/>
          <w:color w:val="auto"/>
          <w:sz w:val="32"/>
          <w:szCs w:val="32"/>
          <w:lang w:val="zh-CN"/>
        </w:rPr>
        <w:t>526</w:t>
      </w:r>
      <w:r>
        <w:rPr>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auto"/>
          <w:sz w:val="32"/>
          <w:szCs w:val="32"/>
          <w:lang w:val="zh-CN"/>
        </w:rPr>
        <w:t>850.42</w:t>
      </w:r>
      <w:r>
        <w:rPr>
          <w:rFonts w:hint="default" w:ascii="Times New Roman" w:hAnsi="Times New Roman" w:eastAsia="方正仿宋_GBK" w:cs="Times New Roman"/>
          <w:kern w:val="0"/>
          <w:sz w:val="32"/>
          <w:szCs w:val="32"/>
          <w:highlight w:val="none"/>
          <w:lang w:eastAsia="zh-CN"/>
        </w:rPr>
        <w:t>元</w:t>
      </w:r>
      <w:r>
        <w:rPr>
          <w:rFonts w:hint="default" w:ascii="Times New Roman" w:hAnsi="Times New Roman" w:eastAsia="方正仿宋_GBK" w:cs="Times New Roman"/>
          <w:kern w:val="0"/>
          <w:sz w:val="32"/>
          <w:szCs w:val="32"/>
          <w:highlight w:val="none"/>
        </w:rPr>
        <w:t>，占总支出的</w:t>
      </w:r>
      <w:r>
        <w:rPr>
          <w:rFonts w:hint="default" w:ascii="Times New Roman" w:hAnsi="Times New Roman" w:eastAsia="方正仿宋_GBK" w:cs="Times New Roman"/>
          <w:color w:val="auto"/>
          <w:sz w:val="32"/>
          <w:szCs w:val="32"/>
          <w:lang w:val="zh-CN"/>
        </w:rPr>
        <w:t>100.00</w:t>
      </w:r>
      <w:r>
        <w:rPr>
          <w:rFonts w:hint="default" w:ascii="Times New Roman" w:hAnsi="Times New Roman" w:eastAsia="方正仿宋_GBK" w:cs="Times New Roman"/>
          <w:kern w:val="0"/>
          <w:sz w:val="32"/>
          <w:szCs w:val="32"/>
          <w:highlight w:val="none"/>
        </w:rPr>
        <w:t>％；项目支出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lang w:eastAsia="zh-CN"/>
        </w:rPr>
        <w:t>元</w:t>
      </w:r>
      <w:r>
        <w:rPr>
          <w:rFonts w:hint="default" w:ascii="Times New Roman" w:hAnsi="Times New Roman" w:eastAsia="方正仿宋_GBK" w:cs="Times New Roman"/>
          <w:kern w:val="0"/>
          <w:sz w:val="32"/>
          <w:szCs w:val="32"/>
          <w:highlight w:val="none"/>
        </w:rPr>
        <w:t>，占总支出的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rPr>
        <w:t>％；上缴上级支出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lang w:eastAsia="zh-CN"/>
        </w:rPr>
        <w:t>元</w:t>
      </w:r>
      <w:r>
        <w:rPr>
          <w:rFonts w:hint="default" w:ascii="Times New Roman" w:hAnsi="Times New Roman" w:eastAsia="方正仿宋_GBK" w:cs="Times New Roman"/>
          <w:kern w:val="0"/>
          <w:sz w:val="32"/>
          <w:szCs w:val="32"/>
          <w:highlight w:val="none"/>
        </w:rPr>
        <w:t>，占总支出的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rPr>
        <w:t>％；经营支出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lang w:eastAsia="zh-CN"/>
        </w:rPr>
        <w:t>元</w:t>
      </w:r>
      <w:r>
        <w:rPr>
          <w:rFonts w:hint="default" w:ascii="Times New Roman" w:hAnsi="Times New Roman" w:eastAsia="方正仿宋_GBK" w:cs="Times New Roman"/>
          <w:kern w:val="0"/>
          <w:sz w:val="32"/>
          <w:szCs w:val="32"/>
          <w:highlight w:val="none"/>
        </w:rPr>
        <w:t>，占总支出的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rPr>
        <w:t>％；对附属单位补助支出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lang w:eastAsia="zh-CN"/>
        </w:rPr>
        <w:t>元</w:t>
      </w:r>
      <w:r>
        <w:rPr>
          <w:rFonts w:hint="default" w:ascii="Times New Roman" w:hAnsi="Times New Roman" w:eastAsia="方正仿宋_GBK" w:cs="Times New Roman"/>
          <w:kern w:val="0"/>
          <w:sz w:val="32"/>
          <w:szCs w:val="32"/>
          <w:highlight w:val="none"/>
        </w:rPr>
        <w:t>，占总支出的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kern w:val="0"/>
          <w:sz w:val="32"/>
          <w:szCs w:val="32"/>
          <w:highlight w:val="none"/>
        </w:rPr>
        <w:t>％。</w:t>
      </w:r>
    </w:p>
    <w:p w14:paraId="36C0CA0C">
      <w:pPr>
        <w:pageBreakBefore w:val="0"/>
        <w:widowControl/>
        <w:kinsoku/>
        <w:overflowPunct/>
        <w:topLinePunct w:val="0"/>
        <w:autoSpaceDE/>
        <w:autoSpaceDN/>
        <w:bidi w:val="0"/>
        <w:snapToGrid w:val="0"/>
        <w:spacing w:before="100" w:after="100" w:line="590" w:lineRule="exact"/>
        <w:ind w:firstLine="538"/>
        <w:jc w:val="both"/>
        <w:textAlignment w:val="auto"/>
        <w:rPr>
          <w:rFonts w:hint="default" w:ascii="Times New Roman" w:hAnsi="Times New Roman" w:eastAsia="方正仿宋_GBK" w:cs="Times New Roman"/>
          <w:color w:val="FF0000"/>
          <w:sz w:val="32"/>
          <w:szCs w:val="32"/>
          <w:highlight w:val="none"/>
        </w:rPr>
      </w:pPr>
      <w:r>
        <w:rPr>
          <w:rFonts w:hint="default" w:ascii="Times New Roman" w:hAnsi="Times New Roman" w:eastAsia="方正仿宋_GBK" w:cs="Times New Roman"/>
          <w:sz w:val="32"/>
          <w:szCs w:val="32"/>
          <w:highlight w:val="none"/>
        </w:rPr>
        <w:t>与上年</w:t>
      </w:r>
      <w:r>
        <w:rPr>
          <w:rFonts w:hint="default" w:ascii="Times New Roman" w:hAnsi="Times New Roman" w:eastAsia="方正仿宋_GBK" w:cs="Times New Roman"/>
          <w:sz w:val="32"/>
          <w:szCs w:val="32"/>
          <w:highlight w:val="none"/>
          <w:lang w:eastAsia="zh-CN"/>
        </w:rPr>
        <w:t>相比，支出</w:t>
      </w:r>
      <w:r>
        <w:rPr>
          <w:rFonts w:hint="default" w:ascii="Times New Roman" w:hAnsi="Times New Roman" w:eastAsia="方正仿宋_GBK" w:cs="Times New Roman"/>
          <w:sz w:val="32"/>
          <w:szCs w:val="32"/>
          <w:highlight w:val="none"/>
        </w:rPr>
        <w:t>合计</w:t>
      </w:r>
      <w:r>
        <w:rPr>
          <w:rFonts w:hint="eastAsia" w:ascii="Times New Roman" w:hAnsi="Times New Roman" w:eastAsia="方正仿宋_GBK" w:cs="Times New Roman"/>
          <w:sz w:val="32"/>
          <w:szCs w:val="32"/>
          <w:highlight w:val="none"/>
          <w:lang w:eastAsia="zh-CN"/>
        </w:rPr>
        <w:t>减少</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auto"/>
          <w:sz w:val="32"/>
          <w:szCs w:val="32"/>
          <w:lang w:val="en-US" w:eastAsia="zh-CN"/>
        </w:rPr>
        <w:t>688.63</w:t>
      </w:r>
      <w:r>
        <w:rPr>
          <w:rFonts w:hint="default" w:ascii="Times New Roman" w:hAnsi="Times New Roman" w:eastAsia="方正仿宋_GBK" w:cs="Times New Roman"/>
          <w:sz w:val="32"/>
          <w:szCs w:val="32"/>
          <w:highlight w:val="none"/>
          <w:lang w:eastAsia="zh-CN"/>
        </w:rPr>
        <w:t>元，</w:t>
      </w:r>
      <w:r>
        <w:rPr>
          <w:rFonts w:hint="eastAsia" w:ascii="Times New Roman" w:hAnsi="Times New Roman" w:eastAsia="方正仿宋_GBK" w:cs="Times New Roman"/>
          <w:sz w:val="32"/>
          <w:szCs w:val="32"/>
          <w:highlight w:val="none"/>
          <w:lang w:eastAsia="zh-CN"/>
        </w:rPr>
        <w:t>降低</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zh-CN"/>
        </w:rPr>
        <w:t>.</w:t>
      </w:r>
      <w:r>
        <w:rPr>
          <w:rFonts w:hint="eastAsia" w:ascii="Times New Roman" w:hAnsi="Times New Roman" w:eastAsia="方正仿宋_GBK" w:cs="Times New Roman"/>
          <w:color w:val="auto"/>
          <w:sz w:val="32"/>
          <w:szCs w:val="32"/>
          <w:lang w:val="en-US" w:eastAsia="zh-CN"/>
        </w:rPr>
        <w:t>99</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。其中：</w:t>
      </w:r>
      <w:r>
        <w:rPr>
          <w:rFonts w:hint="default" w:ascii="Times New Roman" w:hAnsi="Times New Roman" w:eastAsia="方正仿宋_GBK" w:cs="Times New Roman"/>
          <w:kern w:val="0"/>
          <w:sz w:val="32"/>
          <w:szCs w:val="32"/>
          <w:highlight w:val="none"/>
        </w:rPr>
        <w:t>基本支出</w:t>
      </w:r>
      <w:r>
        <w:rPr>
          <w:rFonts w:hint="eastAsia" w:ascii="Times New Roman" w:hAnsi="Times New Roman" w:eastAsia="方正仿宋_GBK" w:cs="Times New Roman"/>
          <w:sz w:val="32"/>
          <w:szCs w:val="32"/>
          <w:highlight w:val="none"/>
          <w:lang w:eastAsia="zh-CN"/>
        </w:rPr>
        <w:t>减少</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auto"/>
          <w:sz w:val="32"/>
          <w:szCs w:val="32"/>
          <w:lang w:val="en-US" w:eastAsia="zh-CN"/>
        </w:rPr>
        <w:t>688.63</w:t>
      </w:r>
      <w:r>
        <w:rPr>
          <w:rFonts w:hint="default" w:ascii="Times New Roman" w:hAnsi="Times New Roman" w:eastAsia="方正仿宋_GBK" w:cs="Times New Roman"/>
          <w:sz w:val="32"/>
          <w:szCs w:val="32"/>
          <w:highlight w:val="none"/>
          <w:lang w:eastAsia="zh-CN"/>
        </w:rPr>
        <w:t>元，</w:t>
      </w:r>
      <w:r>
        <w:rPr>
          <w:rFonts w:hint="eastAsia" w:ascii="Times New Roman" w:hAnsi="Times New Roman" w:eastAsia="方正仿宋_GBK" w:cs="Times New Roman"/>
          <w:sz w:val="32"/>
          <w:szCs w:val="32"/>
          <w:highlight w:val="none"/>
          <w:lang w:eastAsia="zh-CN"/>
        </w:rPr>
        <w:t>降低</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zh-CN"/>
        </w:rPr>
        <w:t>.</w:t>
      </w:r>
      <w:r>
        <w:rPr>
          <w:rFonts w:hint="eastAsia" w:ascii="Times New Roman" w:hAnsi="Times New Roman" w:eastAsia="方正仿宋_GBK" w:cs="Times New Roman"/>
          <w:color w:val="auto"/>
          <w:sz w:val="32"/>
          <w:szCs w:val="32"/>
          <w:lang w:val="en-US" w:eastAsia="zh-CN"/>
        </w:rPr>
        <w:t>99</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主要原因</w:t>
      </w:r>
      <w:r>
        <w:rPr>
          <w:rFonts w:hint="default" w:ascii="Times New Roman" w:hAnsi="Times New Roman" w:eastAsia="方正仿宋_GBK" w:cs="Times New Roman"/>
          <w:sz w:val="32"/>
          <w:szCs w:val="32"/>
          <w:highlight w:val="none"/>
          <w:lang w:eastAsia="zh-CN"/>
        </w:rPr>
        <w:t>是</w:t>
      </w:r>
      <w:r>
        <w:rPr>
          <w:rFonts w:hint="eastAsia" w:ascii="Times New Roman" w:hAnsi="Times New Roman" w:eastAsia="方正仿宋_GBK" w:cs="Times New Roman"/>
          <w:color w:val="auto"/>
          <w:sz w:val="32"/>
          <w:szCs w:val="32"/>
          <w:lang w:val="en-US" w:eastAsia="zh-CN"/>
        </w:rPr>
        <w:t>2025年调入人员职级低</w:t>
      </w:r>
      <w:r>
        <w:rPr>
          <w:rFonts w:hint="default" w:ascii="Times New Roman" w:hAnsi="Times New Roman" w:eastAsia="方正仿宋_GBK" w:cs="Times New Roman"/>
          <w:color w:val="000000"/>
          <w:sz w:val="32"/>
          <w:szCs w:val="32"/>
          <w:lang w:val="en-US" w:eastAsia="zh-CN"/>
        </w:rPr>
        <w:t>工资调</w:t>
      </w:r>
      <w:r>
        <w:rPr>
          <w:rFonts w:hint="eastAsia" w:ascii="Times New Roman" w:hAnsi="Times New Roman" w:eastAsia="方正仿宋_GBK" w:cs="Times New Roman"/>
          <w:color w:val="000000"/>
          <w:sz w:val="32"/>
          <w:szCs w:val="32"/>
          <w:lang w:val="en-US" w:eastAsia="zh-CN"/>
        </w:rPr>
        <w:t>减</w:t>
      </w:r>
      <w:r>
        <w:rPr>
          <w:rFonts w:hint="default" w:ascii="Times New Roman" w:hAnsi="Times New Roman" w:eastAsia="方正仿宋_GBK" w:cs="Times New Roman"/>
          <w:color w:val="000000"/>
          <w:sz w:val="32"/>
          <w:szCs w:val="32"/>
          <w:lang w:val="en-US" w:eastAsia="zh-CN"/>
        </w:rPr>
        <w:t>，所以</w:t>
      </w:r>
      <w:r>
        <w:rPr>
          <w:rFonts w:hint="eastAsia" w:ascii="Times New Roman" w:hAnsi="Times New Roman" w:eastAsia="方正仿宋_GBK" w:cs="Times New Roman"/>
          <w:color w:val="auto"/>
          <w:sz w:val="32"/>
          <w:szCs w:val="32"/>
          <w:lang w:val="en-US" w:eastAsia="zh-CN"/>
        </w:rPr>
        <w:t>2025年</w:t>
      </w:r>
      <w:r>
        <w:rPr>
          <w:rFonts w:hint="default" w:ascii="Times New Roman" w:hAnsi="Times New Roman" w:eastAsia="方正仿宋_GBK" w:cs="Times New Roman"/>
          <w:color w:val="000000"/>
          <w:sz w:val="32"/>
          <w:szCs w:val="32"/>
          <w:lang w:val="en-US" w:eastAsia="zh-CN"/>
        </w:rPr>
        <w:t>的本年收入</w:t>
      </w:r>
      <w:r>
        <w:rPr>
          <w:rFonts w:hint="eastAsia" w:ascii="Times New Roman" w:hAnsi="Times New Roman" w:eastAsia="方正仿宋_GBK" w:cs="Times New Roman"/>
          <w:color w:val="000000"/>
          <w:sz w:val="32"/>
          <w:szCs w:val="32"/>
          <w:lang w:val="en-US" w:eastAsia="zh-CN"/>
        </w:rPr>
        <w:t>减少。</w:t>
      </w:r>
    </w:p>
    <w:p w14:paraId="15629207">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eastAsia" w:ascii="Times New Roman" w:hAnsi="Times New Roman" w:eastAsia="方正楷体_GBK" w:cs="方正楷体_GBK"/>
          <w:color w:val="auto"/>
          <w:sz w:val="32"/>
          <w:szCs w:val="32"/>
          <w:highlight w:val="none"/>
        </w:rPr>
      </w:pPr>
      <w:r>
        <w:rPr>
          <w:rFonts w:hint="eastAsia" w:ascii="Times New Roman" w:hAnsi="Times New Roman" w:eastAsia="方正楷体_GBK" w:cs="方正楷体_GBK"/>
          <w:color w:val="auto"/>
          <w:sz w:val="32"/>
          <w:szCs w:val="32"/>
          <w:highlight w:val="none"/>
        </w:rPr>
        <w:t>（一）基本支出情况</w:t>
      </w:r>
    </w:p>
    <w:p w14:paraId="708A4E43">
      <w:pPr>
        <w:pageBreakBefore w:val="0"/>
        <w:widowControl/>
        <w:kinsoku/>
        <w:overflowPunct/>
        <w:topLinePunct w:val="0"/>
        <w:autoSpaceDE/>
        <w:autoSpaceDN/>
        <w:bidi w:val="0"/>
        <w:snapToGrid w:val="0"/>
        <w:spacing w:before="100" w:after="100" w:line="590" w:lineRule="exact"/>
        <w:ind w:firstLine="538"/>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用于保障</w:t>
      </w:r>
      <w:r>
        <w:rPr>
          <w:rFonts w:hint="default" w:ascii="Times New Roman" w:hAnsi="Times New Roman" w:eastAsia="方正仿宋_GBK" w:cs="Times New Roman"/>
          <w:color w:val="auto"/>
          <w:sz w:val="32"/>
          <w:szCs w:val="32"/>
          <w:lang w:val="zh-CN"/>
        </w:rPr>
        <w:t>华宁县文学艺术界联合会</w:t>
      </w:r>
      <w:r>
        <w:rPr>
          <w:rFonts w:hint="default" w:ascii="Times New Roman" w:hAnsi="Times New Roman" w:eastAsia="方正仿宋_GBK" w:cs="Times New Roman"/>
          <w:color w:val="auto"/>
          <w:sz w:val="32"/>
          <w:szCs w:val="32"/>
          <w:highlight w:val="none"/>
        </w:rPr>
        <w:t>机关、下属事业单位等机构正常运转的日常支出</w:t>
      </w:r>
      <w:r>
        <w:rPr>
          <w:rFonts w:hint="default" w:ascii="Times New Roman" w:hAnsi="Times New Roman" w:eastAsia="方正仿宋_GBK" w:cs="Times New Roman"/>
          <w:color w:val="auto"/>
          <w:sz w:val="32"/>
          <w:szCs w:val="32"/>
          <w:lang w:val="zh-CN"/>
        </w:rPr>
        <w:t>526</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850.42</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其中：</w:t>
      </w:r>
      <w:r>
        <w:rPr>
          <w:rFonts w:hint="default" w:ascii="Times New Roman" w:hAnsi="Times New Roman" w:eastAsia="方正仿宋_GBK" w:cs="Times New Roman"/>
          <w:color w:val="auto"/>
          <w:sz w:val="32"/>
          <w:szCs w:val="32"/>
          <w:highlight w:val="none"/>
        </w:rPr>
        <w:t>基本工资、津贴补贴等人员经费支出</w:t>
      </w:r>
      <w:r>
        <w:rPr>
          <w:rFonts w:hint="default" w:ascii="Times New Roman" w:hAnsi="Times New Roman" w:eastAsia="方正仿宋_GBK" w:cs="Times New Roman"/>
          <w:color w:val="auto"/>
          <w:sz w:val="32"/>
          <w:szCs w:val="32"/>
          <w:lang w:val="zh-CN"/>
        </w:rPr>
        <w:t>485</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670.42</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占基本支出的</w:t>
      </w:r>
      <w:r>
        <w:rPr>
          <w:rFonts w:hint="eastAsia" w:ascii="Times New Roman" w:hAnsi="Times New Roman" w:eastAsia="方正仿宋_GBK" w:cs="Times New Roman"/>
          <w:color w:val="auto"/>
          <w:sz w:val="32"/>
          <w:szCs w:val="32"/>
          <w:lang w:val="en-US" w:eastAsia="zh-CN"/>
        </w:rPr>
        <w:t>92.18</w:t>
      </w:r>
      <w:r>
        <w:rPr>
          <w:rFonts w:hint="default" w:ascii="Times New Roman" w:hAnsi="Times New Roman" w:eastAsia="方正仿宋_GBK" w:cs="Times New Roman"/>
          <w:color w:val="auto"/>
          <w:sz w:val="32"/>
          <w:szCs w:val="32"/>
          <w:highlight w:val="none"/>
        </w:rPr>
        <w:t>％；办公费、印刷费、水电费、办公设备购置等公用经费</w:t>
      </w:r>
      <w:r>
        <w:rPr>
          <w:rFonts w:hint="eastAsia" w:ascii="Times New Roman" w:hAnsi="Times New Roman" w:eastAsia="方正仿宋_GBK" w:cs="Times New Roman"/>
          <w:color w:val="auto"/>
          <w:sz w:val="32"/>
          <w:szCs w:val="32"/>
          <w:lang w:val="en-US" w:eastAsia="zh-CN"/>
        </w:rPr>
        <w:t>41</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180</w:t>
      </w:r>
      <w:r>
        <w:rPr>
          <w:rFonts w:hint="default" w:ascii="Times New Roman" w:hAnsi="Times New Roman" w:eastAsia="方正仿宋_GBK" w:cs="Times New Roman"/>
          <w:color w:val="auto"/>
          <w:sz w:val="32"/>
          <w:szCs w:val="32"/>
          <w:lang w:val="zh-CN"/>
        </w:rPr>
        <w:t>.00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占基本支出的</w:t>
      </w:r>
      <w:r>
        <w:rPr>
          <w:rFonts w:hint="eastAsia" w:ascii="Times New Roman" w:hAnsi="Times New Roman" w:eastAsia="方正仿宋_GBK" w:cs="Times New Roman"/>
          <w:color w:val="auto"/>
          <w:sz w:val="32"/>
          <w:szCs w:val="32"/>
          <w:lang w:val="en-US" w:eastAsia="zh-CN"/>
        </w:rPr>
        <w:t>7.82</w:t>
      </w:r>
      <w:r>
        <w:rPr>
          <w:rFonts w:hint="default" w:ascii="Times New Roman" w:hAnsi="Times New Roman" w:eastAsia="方正仿宋_GBK" w:cs="Times New Roman"/>
          <w:color w:val="auto"/>
          <w:sz w:val="32"/>
          <w:szCs w:val="32"/>
          <w:highlight w:val="none"/>
        </w:rPr>
        <w:t>％。</w:t>
      </w:r>
    </w:p>
    <w:p w14:paraId="7FF2D8E5">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eastAsia" w:ascii="Times New Roman" w:hAnsi="Times New Roman" w:eastAsia="方正楷体_GBK" w:cs="方正楷体_GBK"/>
          <w:color w:val="auto"/>
          <w:sz w:val="32"/>
          <w:szCs w:val="32"/>
          <w:highlight w:val="none"/>
        </w:rPr>
      </w:pPr>
      <w:r>
        <w:rPr>
          <w:rFonts w:hint="eastAsia" w:ascii="Times New Roman" w:hAnsi="Times New Roman" w:eastAsia="方正楷体_GBK" w:cs="方正楷体_GBK"/>
          <w:color w:val="auto"/>
          <w:sz w:val="32"/>
          <w:szCs w:val="32"/>
          <w:highlight w:val="none"/>
        </w:rPr>
        <w:t>（二）项目支出情况</w:t>
      </w:r>
    </w:p>
    <w:p w14:paraId="04D8BD96">
      <w:pPr>
        <w:keepNext w:val="0"/>
        <w:keepLines w:val="0"/>
        <w:pageBreakBefore w:val="0"/>
        <w:widowControl/>
        <w:kinsoku/>
        <w:wordWrap w:val="0"/>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用于保障</w:t>
      </w:r>
      <w:r>
        <w:rPr>
          <w:rFonts w:hint="default" w:ascii="Times New Roman" w:hAnsi="Times New Roman" w:eastAsia="方正仿宋_GBK" w:cs="Times New Roman"/>
          <w:color w:val="auto"/>
          <w:sz w:val="32"/>
          <w:szCs w:val="32"/>
          <w:lang w:val="zh-CN"/>
        </w:rPr>
        <w:t>华宁县文学艺术界联合会</w:t>
      </w:r>
      <w:r>
        <w:rPr>
          <w:rFonts w:hint="default" w:ascii="Times New Roman" w:hAnsi="Times New Roman" w:eastAsia="方正仿宋_GBK" w:cs="Times New Roman"/>
          <w:color w:val="auto"/>
          <w:sz w:val="32"/>
          <w:szCs w:val="32"/>
          <w:highlight w:val="none"/>
          <w:lang w:eastAsia="zh-CN"/>
        </w:rPr>
        <w:t>机关</w:t>
      </w:r>
      <w:r>
        <w:rPr>
          <w:rFonts w:hint="default" w:ascii="Times New Roman" w:hAnsi="Times New Roman" w:eastAsia="方正仿宋_GBK" w:cs="Times New Roman"/>
          <w:color w:val="auto"/>
          <w:sz w:val="32"/>
          <w:szCs w:val="32"/>
          <w:highlight w:val="none"/>
        </w:rPr>
        <w:t>、下属事业单位等机构为完成特定的行政工作任务或事业发展目标，用于专项业务工作的经费支出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其中：基本建设类项目支出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p>
    <w:p w14:paraId="3B6CFF05">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三、一般公共预算财政拨款支出决算情况说明</w:t>
      </w:r>
    </w:p>
    <w:p w14:paraId="5D005FFA">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eastAsia" w:ascii="Times New Roman" w:hAnsi="Times New Roman" w:eastAsia="方正楷体_GBK" w:cs="方正楷体_GBK"/>
          <w:color w:val="auto"/>
          <w:sz w:val="32"/>
          <w:szCs w:val="32"/>
          <w:highlight w:val="none"/>
        </w:rPr>
      </w:pPr>
      <w:r>
        <w:rPr>
          <w:rFonts w:hint="eastAsia" w:ascii="Times New Roman" w:hAnsi="Times New Roman" w:eastAsia="方正楷体_GBK" w:cs="方正楷体_GBK"/>
          <w:color w:val="auto"/>
          <w:sz w:val="32"/>
          <w:szCs w:val="32"/>
          <w:highlight w:val="none"/>
        </w:rPr>
        <w:t>（一）一般公共预算财政拨款支出决算总体情况</w:t>
      </w:r>
    </w:p>
    <w:p w14:paraId="5441A95F">
      <w:pPr>
        <w:pageBreakBefore w:val="0"/>
        <w:widowControl/>
        <w:kinsoku/>
        <w:overflowPunct/>
        <w:topLinePunct w:val="0"/>
        <w:autoSpaceDE/>
        <w:autoSpaceDN/>
        <w:bidi w:val="0"/>
        <w:snapToGrid w:val="0"/>
        <w:spacing w:before="100" w:after="100" w:line="590" w:lineRule="exact"/>
        <w:ind w:firstLine="538"/>
        <w:jc w:val="both"/>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sz w:val="32"/>
          <w:szCs w:val="32"/>
          <w:lang w:val="zh-CN"/>
        </w:rPr>
        <w:t>华宁县文学艺术界联合会</w:t>
      </w:r>
      <w:r>
        <w:rPr>
          <w:rFonts w:hint="eastAsia"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一般公共预算财政拨款支出</w:t>
      </w:r>
      <w:r>
        <w:rPr>
          <w:rFonts w:hint="default" w:ascii="Times New Roman" w:hAnsi="Times New Roman" w:eastAsia="方正仿宋_GBK" w:cs="Times New Roman"/>
          <w:color w:val="auto"/>
          <w:sz w:val="32"/>
          <w:szCs w:val="32"/>
          <w:lang w:val="zh-CN"/>
        </w:rPr>
        <w:t>526</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zh-CN"/>
        </w:rPr>
        <w:t>850.42</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,占本年支出合计的</w:t>
      </w:r>
      <w:r>
        <w:rPr>
          <w:rFonts w:hint="default" w:ascii="Times New Roman" w:hAnsi="Times New Roman" w:eastAsia="方正仿宋_GBK" w:cs="Times New Roman"/>
          <w:color w:val="auto"/>
          <w:sz w:val="32"/>
          <w:szCs w:val="32"/>
          <w:lang w:val="zh-CN"/>
        </w:rPr>
        <w:t>100.00</w:t>
      </w:r>
      <w:r>
        <w:rPr>
          <w:rFonts w:hint="default" w:ascii="Times New Roman" w:hAnsi="Times New Roman" w:eastAsia="方正仿宋_GBK" w:cs="Times New Roman"/>
          <w:color w:val="auto"/>
          <w:kern w:val="0"/>
          <w:sz w:val="32"/>
          <w:szCs w:val="32"/>
          <w:highlight w:val="none"/>
        </w:rPr>
        <w:t>%。与上年</w:t>
      </w:r>
      <w:r>
        <w:rPr>
          <w:rFonts w:hint="default" w:ascii="Times New Roman" w:hAnsi="Times New Roman" w:eastAsia="方正仿宋_GBK" w:cs="Times New Roman"/>
          <w:color w:val="auto"/>
          <w:kern w:val="0"/>
          <w:sz w:val="32"/>
          <w:szCs w:val="32"/>
          <w:highlight w:val="none"/>
          <w:lang w:eastAsia="zh-CN"/>
        </w:rPr>
        <w:t>相比</w:t>
      </w:r>
      <w:r>
        <w:rPr>
          <w:rFonts w:hint="eastAsia" w:ascii="Times New Roman" w:hAnsi="Times New Roman" w:eastAsia="方正仿宋_GBK" w:cs="Times New Roman"/>
          <w:color w:val="auto"/>
          <w:sz w:val="32"/>
          <w:szCs w:val="32"/>
          <w:highlight w:val="none"/>
          <w:lang w:eastAsia="zh-CN"/>
        </w:rPr>
        <w:t>减少</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688.63</w:t>
      </w:r>
      <w:r>
        <w:rPr>
          <w:rFonts w:hint="default" w:ascii="Times New Roman" w:hAnsi="Times New Roman" w:eastAsia="方正仿宋_GBK" w:cs="Times New Roman"/>
          <w:color w:val="auto"/>
          <w:kern w:val="0"/>
          <w:sz w:val="32"/>
          <w:szCs w:val="32"/>
          <w:highlight w:val="none"/>
        </w:rPr>
        <w:t>元，</w:t>
      </w:r>
      <w:r>
        <w:rPr>
          <w:rFonts w:hint="eastAsia" w:ascii="Times New Roman" w:hAnsi="Times New Roman" w:eastAsia="方正仿宋_GBK" w:cs="Times New Roman"/>
          <w:color w:val="auto"/>
          <w:sz w:val="32"/>
          <w:szCs w:val="32"/>
          <w:highlight w:val="none"/>
          <w:lang w:eastAsia="zh-CN"/>
        </w:rPr>
        <w:t>降低</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zh-CN"/>
        </w:rPr>
        <w:t>.</w:t>
      </w:r>
      <w:r>
        <w:rPr>
          <w:rFonts w:hint="eastAsia" w:ascii="Times New Roman" w:hAnsi="Times New Roman" w:eastAsia="方正仿宋_GBK" w:cs="Times New Roman"/>
          <w:color w:val="auto"/>
          <w:sz w:val="32"/>
          <w:szCs w:val="32"/>
          <w:lang w:val="en-US" w:eastAsia="zh-CN"/>
        </w:rPr>
        <w:t>99</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eastAsia" w:ascii="Times New Roman" w:hAnsi="Times New Roman" w:eastAsia="方正仿宋_GBK" w:cs="Times New Roman"/>
          <w:color w:val="auto"/>
          <w:sz w:val="32"/>
          <w:szCs w:val="32"/>
          <w:lang w:val="en-US" w:eastAsia="zh-CN"/>
        </w:rPr>
        <w:t>102.97</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主要原因</w:t>
      </w:r>
      <w:r>
        <w:rPr>
          <w:rFonts w:hint="default" w:ascii="Times New Roman" w:hAnsi="Times New Roman" w:eastAsia="方正仿宋_GBK" w:cs="Times New Roman"/>
          <w:color w:val="auto"/>
          <w:sz w:val="32"/>
          <w:szCs w:val="32"/>
          <w:highlight w:val="none"/>
          <w:lang w:eastAsia="zh-CN"/>
        </w:rPr>
        <w:t>是</w:t>
      </w:r>
      <w:r>
        <w:rPr>
          <w:rFonts w:hint="eastAsia" w:ascii="Times New Roman" w:hAnsi="Times New Roman" w:eastAsia="方正仿宋_GBK" w:cs="Times New Roman"/>
          <w:color w:val="auto"/>
          <w:sz w:val="32"/>
          <w:szCs w:val="32"/>
          <w:lang w:val="en-US" w:eastAsia="zh-CN"/>
        </w:rPr>
        <w:t>2025年调入人员职级低</w:t>
      </w:r>
      <w:r>
        <w:rPr>
          <w:rFonts w:hint="default" w:ascii="Times New Roman" w:hAnsi="Times New Roman" w:eastAsia="方正仿宋_GBK" w:cs="Times New Roman"/>
          <w:color w:val="auto"/>
          <w:sz w:val="32"/>
          <w:szCs w:val="32"/>
          <w:lang w:val="en-US" w:eastAsia="zh-CN"/>
        </w:rPr>
        <w:t>工资调</w:t>
      </w:r>
      <w:r>
        <w:rPr>
          <w:rFonts w:hint="eastAsia" w:ascii="Times New Roman" w:hAnsi="Times New Roman" w:eastAsia="方正仿宋_GBK" w:cs="Times New Roman"/>
          <w:color w:val="auto"/>
          <w:sz w:val="32"/>
          <w:szCs w:val="32"/>
          <w:lang w:val="en-US" w:eastAsia="zh-CN"/>
        </w:rPr>
        <w:t>减</w:t>
      </w:r>
      <w:r>
        <w:rPr>
          <w:rFonts w:hint="default" w:ascii="Times New Roman" w:hAnsi="Times New Roman" w:eastAsia="方正仿宋_GBK" w:cs="Times New Roman"/>
          <w:color w:val="auto"/>
          <w:sz w:val="32"/>
          <w:szCs w:val="32"/>
          <w:lang w:val="en-US" w:eastAsia="zh-CN"/>
        </w:rPr>
        <w:t>，所以</w:t>
      </w:r>
      <w:r>
        <w:rPr>
          <w:rFonts w:hint="eastAsia" w:ascii="Times New Roman" w:hAnsi="Times New Roman" w:eastAsia="方正仿宋_GBK" w:cs="Times New Roman"/>
          <w:color w:val="auto"/>
          <w:sz w:val="32"/>
          <w:szCs w:val="32"/>
          <w:lang w:val="en-US" w:eastAsia="zh-CN"/>
        </w:rPr>
        <w:t>2025年</w:t>
      </w:r>
      <w:r>
        <w:rPr>
          <w:rFonts w:hint="default" w:ascii="Times New Roman" w:hAnsi="Times New Roman" w:eastAsia="方正仿宋_GBK" w:cs="Times New Roman"/>
          <w:color w:val="auto"/>
          <w:sz w:val="32"/>
          <w:szCs w:val="32"/>
          <w:lang w:val="en-US" w:eastAsia="zh-CN"/>
        </w:rPr>
        <w:t>的本年收入</w:t>
      </w:r>
      <w:r>
        <w:rPr>
          <w:rFonts w:hint="eastAsia" w:ascii="Times New Roman" w:hAnsi="Times New Roman" w:eastAsia="方正仿宋_GBK" w:cs="Times New Roman"/>
          <w:color w:val="auto"/>
          <w:sz w:val="32"/>
          <w:szCs w:val="32"/>
          <w:lang w:val="en-US" w:eastAsia="zh-CN"/>
        </w:rPr>
        <w:t>减少</w:t>
      </w:r>
      <w:r>
        <w:rPr>
          <w:rFonts w:hint="default" w:ascii="Times New Roman" w:hAnsi="Times New Roman" w:eastAsia="方正仿宋_GBK" w:cs="Times New Roman"/>
          <w:color w:val="auto"/>
          <w:sz w:val="32"/>
          <w:szCs w:val="32"/>
          <w:lang w:val="en-US" w:eastAsia="zh-CN"/>
        </w:rPr>
        <w:t>。</w:t>
      </w:r>
    </w:p>
    <w:p w14:paraId="5D7F2850">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eastAsia" w:ascii="Times New Roman" w:hAnsi="Times New Roman" w:eastAsia="方正楷体_GBK" w:cs="方正楷体_GBK"/>
          <w:color w:val="auto"/>
          <w:sz w:val="32"/>
          <w:szCs w:val="32"/>
          <w:highlight w:val="none"/>
        </w:rPr>
      </w:pPr>
      <w:r>
        <w:rPr>
          <w:rFonts w:hint="eastAsia" w:ascii="Times New Roman" w:hAnsi="Times New Roman" w:eastAsia="方正楷体_GBK" w:cs="方正楷体_GBK"/>
          <w:color w:val="auto"/>
          <w:sz w:val="32"/>
          <w:szCs w:val="32"/>
          <w:highlight w:val="none"/>
        </w:rPr>
        <w:t>（二）一般公共预算财政拨款支出决算</w:t>
      </w:r>
      <w:r>
        <w:rPr>
          <w:rFonts w:hint="eastAsia" w:ascii="Times New Roman" w:hAnsi="Times New Roman" w:eastAsia="方正楷体_GBK" w:cs="方正楷体_GBK"/>
          <w:color w:val="auto"/>
          <w:sz w:val="32"/>
          <w:szCs w:val="32"/>
          <w:highlight w:val="none"/>
          <w:lang w:eastAsia="zh-CN"/>
        </w:rPr>
        <w:t>分功能分类科目情况</w:t>
      </w:r>
    </w:p>
    <w:p w14:paraId="031E55D5">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kern w:val="0"/>
          <w:sz w:val="32"/>
          <w:szCs w:val="32"/>
          <w:highlight w:val="none"/>
        </w:rPr>
        <w:t>1.一般公共服务（类）支出</w:t>
      </w:r>
      <w:r>
        <w:rPr>
          <w:rFonts w:hint="eastAsia" w:ascii="Times New Roman" w:hAnsi="Times New Roman" w:eastAsia="方正仿宋_GBK" w:cs="Times New Roman"/>
          <w:color w:val="auto"/>
          <w:kern w:val="0"/>
          <w:sz w:val="32"/>
          <w:szCs w:val="32"/>
          <w:lang w:val="en-US" w:eastAsia="zh-CN"/>
        </w:rPr>
        <w:t>387</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kern w:val="0"/>
          <w:sz w:val="32"/>
          <w:szCs w:val="32"/>
          <w:lang w:val="en-US" w:eastAsia="zh-CN"/>
        </w:rPr>
        <w:t>543</w:t>
      </w:r>
      <w:r>
        <w:rPr>
          <w:rFonts w:hint="default" w:ascii="Times New Roman" w:hAnsi="Times New Roman" w:eastAsia="方正仿宋_GBK" w:cs="Times New Roman"/>
          <w:color w:val="auto"/>
          <w:kern w:val="0"/>
          <w:sz w:val="32"/>
          <w:szCs w:val="32"/>
          <w:lang w:val="zh-CN"/>
        </w:rPr>
        <w:t>.00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eastAsia" w:ascii="Times New Roman" w:hAnsi="Times New Roman" w:eastAsia="方正仿宋_GBK" w:cs="Times New Roman"/>
          <w:color w:val="auto"/>
          <w:kern w:val="0"/>
          <w:sz w:val="32"/>
          <w:szCs w:val="32"/>
          <w:lang w:val="en-US" w:eastAsia="zh-CN"/>
        </w:rPr>
        <w:t>73.56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eastAsia" w:ascii="Times New Roman" w:hAnsi="Times New Roman" w:eastAsia="方正仿宋_GBK" w:cs="Times New Roman"/>
          <w:color w:val="auto"/>
          <w:kern w:val="0"/>
          <w:sz w:val="32"/>
          <w:szCs w:val="32"/>
          <w:lang w:val="en-US" w:eastAsia="zh-CN"/>
        </w:rPr>
        <w:t>89</w:t>
      </w:r>
      <w:r>
        <w:rPr>
          <w:rFonts w:hint="default" w:ascii="Times New Roman" w:hAnsi="Times New Roman" w:eastAsia="方正仿宋_GBK" w:cs="Times New Roman"/>
          <w:color w:val="auto"/>
          <w:kern w:val="0"/>
          <w:sz w:val="32"/>
          <w:szCs w:val="32"/>
          <w:lang w:val="zh-CN"/>
        </w:rPr>
        <w:t>.</w:t>
      </w:r>
      <w:r>
        <w:rPr>
          <w:rFonts w:hint="eastAsia" w:ascii="Times New Roman" w:hAnsi="Times New Roman" w:eastAsia="方正仿宋_GBK" w:cs="Times New Roman"/>
          <w:color w:val="auto"/>
          <w:kern w:val="0"/>
          <w:sz w:val="32"/>
          <w:szCs w:val="32"/>
          <w:lang w:val="en-US" w:eastAsia="zh-CN"/>
        </w:rPr>
        <w:t>34</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lang w:val="en-US"/>
        </w:rPr>
        <w:t>主要用于</w:t>
      </w:r>
      <w:r>
        <w:rPr>
          <w:rFonts w:hint="default" w:ascii="Times New Roman" w:hAnsi="Times New Roman" w:eastAsia="方正仿宋_GBK" w:cs="Times New Roman"/>
          <w:color w:val="auto"/>
          <w:sz w:val="32"/>
          <w:szCs w:val="32"/>
          <w:lang w:val="en-US" w:eastAsia="zh-CN"/>
        </w:rPr>
        <w:t>人员基本工资，津贴补贴，奖金支出合计</w:t>
      </w:r>
      <w:r>
        <w:rPr>
          <w:rFonts w:hint="eastAsia" w:ascii="Times New Roman" w:hAnsi="Times New Roman" w:eastAsia="方正仿宋_GBK" w:cs="Times New Roman"/>
          <w:color w:val="auto"/>
          <w:sz w:val="32"/>
          <w:szCs w:val="32"/>
          <w:lang w:val="en-US" w:eastAsia="zh-CN"/>
        </w:rPr>
        <w:t>387</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543</w:t>
      </w:r>
      <w:r>
        <w:rPr>
          <w:rFonts w:hint="default" w:ascii="Times New Roman" w:hAnsi="Times New Roman" w:eastAsia="方正仿宋_GBK" w:cs="Times New Roman"/>
          <w:color w:val="auto"/>
          <w:sz w:val="32"/>
          <w:szCs w:val="32"/>
          <w:lang w:val="en-US" w:eastAsia="zh-CN"/>
        </w:rPr>
        <w:t>.00元</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造成预决算差异的主要原因是：</w:t>
      </w:r>
      <w:r>
        <w:rPr>
          <w:rFonts w:hint="eastAsia" w:ascii="Times New Roman" w:hAnsi="Times New Roman" w:eastAsia="方正仿宋_GBK" w:cs="Times New Roman"/>
          <w:color w:val="auto"/>
          <w:sz w:val="32"/>
          <w:szCs w:val="32"/>
          <w:lang w:val="en-US" w:eastAsia="zh-CN"/>
        </w:rPr>
        <w:t>2025年人员变动工资差异，</w:t>
      </w:r>
      <w:r>
        <w:rPr>
          <w:rFonts w:hint="default" w:ascii="Times New Roman" w:hAnsi="Times New Roman" w:eastAsia="方正仿宋_GBK" w:cs="Times New Roman"/>
          <w:color w:val="auto"/>
          <w:sz w:val="32"/>
          <w:szCs w:val="32"/>
          <w:highlight w:val="none"/>
        </w:rPr>
        <w:t>一般公共预算财政拨款总支出</w:t>
      </w:r>
      <w:r>
        <w:rPr>
          <w:rFonts w:hint="eastAsia" w:ascii="Times New Roman" w:hAnsi="Times New Roman" w:eastAsia="方正仿宋_GBK" w:cs="Times New Roman"/>
          <w:color w:val="auto"/>
          <w:sz w:val="32"/>
          <w:szCs w:val="32"/>
          <w:lang w:val="en-US" w:eastAsia="zh-CN"/>
        </w:rPr>
        <w:t>减少</w:t>
      </w:r>
      <w:r>
        <w:rPr>
          <w:rFonts w:hint="default" w:ascii="Times New Roman" w:hAnsi="Times New Roman" w:eastAsia="方正仿宋_GBK" w:cs="Times New Roman"/>
          <w:color w:val="auto"/>
          <w:sz w:val="32"/>
          <w:szCs w:val="32"/>
          <w:lang w:val="en-US" w:eastAsia="zh-CN"/>
        </w:rPr>
        <w:t>。</w:t>
      </w:r>
    </w:p>
    <w:p w14:paraId="55AB5BB3">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2.外交（类）支出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78FCB8F5">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3.国防（类）支出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19A37BE9">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rPr>
        <w:t>4.公共安全（类）支出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58A61F11">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5.教育（类）支出</w:t>
      </w:r>
      <w:r>
        <w:rPr>
          <w:rFonts w:hint="default" w:ascii="Times New Roman" w:hAnsi="Times New Roman" w:eastAsia="方正仿宋_GBK" w:cs="Times New Roman"/>
          <w:color w:val="auto"/>
          <w:kern w:val="0"/>
          <w:sz w:val="32"/>
          <w:szCs w:val="32"/>
          <w:lang w:val="en-US" w:eastAsia="zh-CN"/>
        </w:rPr>
        <w:t>0.00</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2F320A39">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6.科学技术（类）支出</w:t>
      </w:r>
      <w:r>
        <w:rPr>
          <w:rFonts w:hint="default" w:ascii="Times New Roman" w:hAnsi="Times New Roman" w:eastAsia="方正仿宋_GBK" w:cs="Times New Roman"/>
          <w:color w:val="auto"/>
          <w:kern w:val="0"/>
          <w:sz w:val="32"/>
          <w:szCs w:val="32"/>
          <w:lang w:val="en-US" w:eastAsia="zh-CN"/>
        </w:rPr>
        <w:t>0.00</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7118FA02">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7.文化旅游体育与传媒（类）支出</w:t>
      </w:r>
      <w:r>
        <w:rPr>
          <w:rFonts w:hint="default" w:ascii="Times New Roman" w:hAnsi="Times New Roman" w:eastAsia="方正仿宋_GBK" w:cs="Times New Roman"/>
          <w:color w:val="auto"/>
          <w:kern w:val="0"/>
          <w:sz w:val="32"/>
          <w:szCs w:val="32"/>
          <w:lang w:val="en-US" w:eastAsia="zh-CN"/>
        </w:rPr>
        <w:t>0.00</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5AC3E517">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8.社会保障和就业（类）支出</w:t>
      </w:r>
      <w:r>
        <w:rPr>
          <w:rFonts w:hint="default" w:ascii="Times New Roman" w:hAnsi="Times New Roman" w:eastAsia="方正仿宋_GBK" w:cs="Times New Roman"/>
          <w:color w:val="auto"/>
          <w:kern w:val="0"/>
          <w:sz w:val="32"/>
          <w:szCs w:val="32"/>
          <w:lang w:val="en-US" w:eastAsia="zh-CN"/>
        </w:rPr>
        <w:t>44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kern w:val="0"/>
          <w:sz w:val="32"/>
          <w:szCs w:val="32"/>
          <w:lang w:val="en-US" w:eastAsia="zh-CN"/>
        </w:rPr>
        <w:t>002.56</w:t>
      </w:r>
      <w:r>
        <w:rPr>
          <w:rFonts w:hint="default" w:ascii="Times New Roman" w:hAnsi="Times New Roman" w:eastAsia="方正仿宋_GBK" w:cs="Times New Roman"/>
          <w:color w:val="auto"/>
          <w:kern w:val="0"/>
          <w:sz w:val="32"/>
          <w:szCs w:val="32"/>
          <w:lang w:val="en-US"/>
        </w:rPr>
        <w:t>元，</w:t>
      </w:r>
      <w:r>
        <w:rPr>
          <w:rFonts w:hint="default" w:ascii="Times New Roman" w:hAnsi="Times New Roman" w:eastAsia="方正仿宋_GBK" w:cs="Times New Roman"/>
          <w:color w:val="auto"/>
          <w:sz w:val="32"/>
          <w:szCs w:val="32"/>
          <w:lang w:val="en-US"/>
        </w:rPr>
        <w:t>占一般公共预算财政拨款总支出的</w:t>
      </w:r>
      <w:r>
        <w:rPr>
          <w:rFonts w:hint="eastAsia"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35</w:t>
      </w:r>
      <w:r>
        <w:rPr>
          <w:rFonts w:hint="default" w:ascii="Times New Roman" w:hAnsi="Times New Roman" w:eastAsia="方正仿宋_GBK" w:cs="Times New Roman"/>
          <w:color w:val="auto"/>
          <w:sz w:val="32"/>
          <w:szCs w:val="32"/>
          <w:lang w:val="en-US"/>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eastAsia" w:ascii="Times New Roman" w:hAnsi="Times New Roman" w:eastAsia="方正仿宋_GBK" w:cs="Times New Roman"/>
          <w:color w:val="auto"/>
          <w:kern w:val="0"/>
          <w:sz w:val="32"/>
          <w:szCs w:val="32"/>
          <w:lang w:val="en-US" w:eastAsia="zh-CN"/>
        </w:rPr>
        <w:t>219.69</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lang w:val="en-US"/>
        </w:rPr>
        <w:t>主要用于</w:t>
      </w:r>
      <w:r>
        <w:rPr>
          <w:rFonts w:hint="default" w:ascii="Times New Roman" w:hAnsi="Times New Roman" w:eastAsia="方正仿宋_GBK" w:cs="Times New Roman"/>
          <w:color w:val="auto"/>
          <w:sz w:val="32"/>
          <w:szCs w:val="32"/>
          <w:lang w:val="en-US"/>
        </w:rPr>
        <w:t>机关事业单位基本养老保险缴费支出</w:t>
      </w:r>
      <w:r>
        <w:rPr>
          <w:rFonts w:hint="default" w:ascii="Times New Roman" w:hAnsi="Times New Roman" w:eastAsia="方正仿宋_GBK" w:cs="Times New Roman"/>
          <w:color w:val="auto"/>
          <w:sz w:val="32"/>
          <w:szCs w:val="32"/>
          <w:lang w:val="en-US" w:eastAsia="zh-CN"/>
        </w:rPr>
        <w:t>，合计</w:t>
      </w:r>
      <w:r>
        <w:rPr>
          <w:rFonts w:hint="default" w:ascii="Times New Roman" w:hAnsi="Times New Roman" w:eastAsia="方正仿宋_GBK" w:cs="Times New Roman"/>
          <w:color w:val="auto"/>
          <w:kern w:val="0"/>
          <w:sz w:val="32"/>
          <w:szCs w:val="32"/>
          <w:lang w:val="en-US" w:eastAsia="zh-CN"/>
        </w:rPr>
        <w:t>44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kern w:val="0"/>
          <w:sz w:val="32"/>
          <w:szCs w:val="32"/>
          <w:lang w:val="en-US" w:eastAsia="zh-CN"/>
        </w:rPr>
        <w:t>002.56</w:t>
      </w:r>
      <w:r>
        <w:rPr>
          <w:rFonts w:hint="default" w:ascii="Times New Roman" w:hAnsi="Times New Roman" w:eastAsia="方正仿宋_GBK" w:cs="Times New Roman"/>
          <w:color w:val="auto"/>
          <w:sz w:val="32"/>
          <w:szCs w:val="32"/>
          <w:lang w:val="en-US" w:eastAsia="zh-CN"/>
        </w:rPr>
        <w:t>元；造成预决算差异的主要原因是：</w:t>
      </w:r>
      <w:r>
        <w:rPr>
          <w:rFonts w:hint="eastAsia" w:ascii="Times New Roman" w:hAnsi="Times New Roman" w:eastAsia="方正仿宋_GBK" w:cs="Times New Roman"/>
          <w:color w:val="auto"/>
          <w:sz w:val="32"/>
          <w:szCs w:val="32"/>
          <w:lang w:val="en-US" w:eastAsia="zh-CN"/>
        </w:rPr>
        <w:t>2025年度调入人员一人，养老保险增加</w:t>
      </w:r>
      <w:r>
        <w:rPr>
          <w:rFonts w:hint="default" w:ascii="Times New Roman" w:hAnsi="Times New Roman" w:eastAsia="方正仿宋_GBK" w:cs="Times New Roman"/>
          <w:color w:val="auto"/>
          <w:sz w:val="32"/>
          <w:szCs w:val="32"/>
          <w:lang w:val="en-US" w:eastAsia="zh-CN"/>
        </w:rPr>
        <w:t>。</w:t>
      </w:r>
    </w:p>
    <w:p w14:paraId="7959470D">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lang w:val="en-US" w:eastAsia="zh-CN"/>
        </w:rPr>
      </w:pPr>
      <w:r>
        <w:rPr>
          <w:rFonts w:hint="default" w:ascii="Times New Roman" w:hAnsi="Times New Roman" w:eastAsia="方正仿宋_GBK" w:cs="Times New Roman"/>
          <w:color w:val="auto"/>
          <w:kern w:val="0"/>
          <w:sz w:val="32"/>
          <w:szCs w:val="32"/>
          <w:lang w:val="en-US"/>
        </w:rPr>
        <w:t>9.卫生健康（类）支出</w:t>
      </w:r>
      <w:r>
        <w:rPr>
          <w:rFonts w:hint="default" w:ascii="Times New Roman" w:hAnsi="Times New Roman" w:eastAsia="方正仿宋_GBK" w:cs="Times New Roman"/>
          <w:color w:val="auto"/>
          <w:kern w:val="0"/>
          <w:sz w:val="32"/>
          <w:szCs w:val="32"/>
          <w:lang w:val="zh-CN"/>
        </w:rPr>
        <w:t>4</w:t>
      </w:r>
      <w:r>
        <w:rPr>
          <w:rFonts w:hint="eastAsia" w:ascii="Times New Roman" w:hAnsi="Times New Roman" w:eastAsia="方正仿宋_GBK" w:cs="Times New Roman"/>
          <w:color w:val="auto"/>
          <w:kern w:val="0"/>
          <w:sz w:val="32"/>
          <w:szCs w:val="32"/>
          <w:lang w:val="en-US" w:eastAsia="zh-CN"/>
        </w:rPr>
        <w:t>5</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kern w:val="0"/>
          <w:sz w:val="32"/>
          <w:szCs w:val="32"/>
          <w:lang w:val="en-US" w:eastAsia="zh-CN"/>
        </w:rPr>
        <w:t>159.86</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eastAsia" w:ascii="Times New Roman" w:hAnsi="Times New Roman" w:eastAsia="方正仿宋_GBK" w:cs="Times New Roman"/>
          <w:color w:val="auto"/>
          <w:kern w:val="0"/>
          <w:sz w:val="32"/>
          <w:szCs w:val="32"/>
          <w:lang w:val="en-US" w:eastAsia="zh-CN"/>
        </w:rPr>
        <w:t>8.57</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完成年初预算的</w:t>
      </w:r>
      <w:r>
        <w:rPr>
          <w:rFonts w:hint="eastAsia" w:ascii="Times New Roman" w:hAnsi="Times New Roman" w:eastAsia="方正仿宋_GBK" w:cs="Times New Roman"/>
          <w:color w:val="auto"/>
          <w:kern w:val="0"/>
          <w:sz w:val="32"/>
          <w:szCs w:val="32"/>
          <w:lang w:val="en-US" w:eastAsia="zh-CN"/>
        </w:rPr>
        <w:t>507.76</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rPr>
        <w:t>主要用于</w:t>
      </w:r>
      <w:r>
        <w:rPr>
          <w:rFonts w:hint="default" w:ascii="Times New Roman" w:hAnsi="Times New Roman" w:eastAsia="方正仿宋_GBK" w:cs="Times New Roman"/>
          <w:color w:val="auto"/>
          <w:kern w:val="0"/>
          <w:sz w:val="32"/>
          <w:szCs w:val="32"/>
          <w:lang w:val="en-US"/>
        </w:rPr>
        <w:t>主要用于</w:t>
      </w:r>
      <w:r>
        <w:rPr>
          <w:rFonts w:hint="default" w:ascii="Times New Roman" w:hAnsi="Times New Roman" w:eastAsia="方正仿宋_GBK" w:cs="Times New Roman"/>
          <w:color w:val="auto"/>
          <w:sz w:val="32"/>
          <w:szCs w:val="32"/>
          <w:lang w:val="en-US"/>
        </w:rPr>
        <w:t>行政单位医疗</w:t>
      </w:r>
      <w:r>
        <w:rPr>
          <w:rFonts w:hint="default" w:ascii="Times New Roman" w:hAnsi="Times New Roman" w:eastAsia="方正仿宋_GBK" w:cs="Times New Roman"/>
          <w:color w:val="auto"/>
          <w:sz w:val="32"/>
          <w:szCs w:val="32"/>
          <w:lang w:val="en-US" w:eastAsia="zh-CN"/>
        </w:rPr>
        <w:t>，公务员医疗补助，其他行政事业单位医疗支出，合计</w:t>
      </w:r>
      <w:r>
        <w:rPr>
          <w:rFonts w:hint="default" w:ascii="Times New Roman" w:hAnsi="Times New Roman" w:eastAsia="方正仿宋_GBK" w:cs="Times New Roman"/>
          <w:color w:val="auto"/>
          <w:kern w:val="0"/>
          <w:sz w:val="32"/>
          <w:szCs w:val="32"/>
          <w:lang w:val="zh-CN"/>
        </w:rPr>
        <w:t>4</w:t>
      </w:r>
      <w:r>
        <w:rPr>
          <w:rFonts w:hint="eastAsia" w:ascii="Times New Roman" w:hAnsi="Times New Roman" w:eastAsia="方正仿宋_GBK" w:cs="Times New Roman"/>
          <w:color w:val="auto"/>
          <w:kern w:val="0"/>
          <w:sz w:val="32"/>
          <w:szCs w:val="32"/>
          <w:lang w:val="en-US" w:eastAsia="zh-CN"/>
        </w:rPr>
        <w:t>5</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kern w:val="0"/>
          <w:sz w:val="32"/>
          <w:szCs w:val="32"/>
          <w:lang w:val="en-US" w:eastAsia="zh-CN"/>
        </w:rPr>
        <w:t>159.86</w:t>
      </w:r>
      <w:r>
        <w:rPr>
          <w:rFonts w:hint="default" w:ascii="Times New Roman" w:hAnsi="Times New Roman" w:eastAsia="方正仿宋_GBK" w:cs="Times New Roman"/>
          <w:color w:val="auto"/>
          <w:sz w:val="32"/>
          <w:szCs w:val="32"/>
          <w:lang w:val="en-US" w:eastAsia="zh-CN"/>
        </w:rPr>
        <w:t>元。造成预决算差异的主要原因是：</w:t>
      </w:r>
      <w:r>
        <w:rPr>
          <w:rFonts w:hint="eastAsia" w:ascii="Times New Roman" w:hAnsi="Times New Roman" w:eastAsia="方正仿宋_GBK" w:cs="Times New Roman"/>
          <w:color w:val="auto"/>
          <w:sz w:val="32"/>
          <w:szCs w:val="32"/>
          <w:lang w:val="en-US" w:eastAsia="zh-CN"/>
        </w:rPr>
        <w:t>2025年度调入人员一人，</w:t>
      </w:r>
      <w:r>
        <w:rPr>
          <w:rFonts w:hint="default" w:ascii="Times New Roman" w:hAnsi="Times New Roman" w:eastAsia="方正仿宋_GBK" w:cs="Times New Roman"/>
          <w:color w:val="auto"/>
          <w:kern w:val="0"/>
          <w:sz w:val="32"/>
          <w:szCs w:val="32"/>
          <w:lang w:val="en-US"/>
        </w:rPr>
        <w:t>卫生健康支出</w:t>
      </w:r>
      <w:r>
        <w:rPr>
          <w:rFonts w:hint="eastAsia" w:ascii="Times New Roman" w:hAnsi="Times New Roman" w:eastAsia="方正仿宋_GBK" w:cs="Times New Roman"/>
          <w:color w:val="auto"/>
          <w:sz w:val="32"/>
          <w:szCs w:val="32"/>
          <w:lang w:val="en-US" w:eastAsia="zh-CN"/>
        </w:rPr>
        <w:t>增加</w:t>
      </w:r>
      <w:r>
        <w:rPr>
          <w:rFonts w:hint="default" w:ascii="Times New Roman" w:hAnsi="Times New Roman" w:eastAsia="方正仿宋_GBK" w:cs="Times New Roman"/>
          <w:color w:val="auto"/>
          <w:sz w:val="32"/>
          <w:szCs w:val="32"/>
          <w:lang w:val="en-US" w:eastAsia="zh-CN"/>
        </w:rPr>
        <w:t>。</w:t>
      </w:r>
    </w:p>
    <w:p w14:paraId="07E226FA">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10.节能环保（类）支出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0E75B829">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11.城乡社区（类）支出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64E6304C">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12.农林水（类）支出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1AD229D3">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lang w:val="en-US"/>
        </w:rPr>
        <w:t>13.交通运输（类）支出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57D8ABE6">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14.资源勘探工业信息等（类）支出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347F18D6">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15.商业服务业等（类）支出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69D321F9">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16.金融（类）支出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307866A2">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17.援助其他地区（类）支出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4FE0341F">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18.自然资源海洋气象等（类）支出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09AC87EC">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lang w:val="en-US"/>
        </w:rPr>
      </w:pPr>
      <w:r>
        <w:rPr>
          <w:rFonts w:hint="default" w:ascii="Times New Roman" w:hAnsi="Times New Roman" w:eastAsia="方正仿宋_GBK" w:cs="Times New Roman"/>
          <w:color w:val="auto"/>
          <w:kern w:val="0"/>
          <w:sz w:val="32"/>
          <w:szCs w:val="32"/>
          <w:lang w:val="en-US"/>
        </w:rPr>
        <w:t>19.住房保障（类）支出</w:t>
      </w:r>
      <w:r>
        <w:rPr>
          <w:rFonts w:hint="eastAsia" w:ascii="Times New Roman" w:hAnsi="Times New Roman" w:eastAsia="方正仿宋_GBK" w:cs="Times New Roman"/>
          <w:color w:val="auto"/>
          <w:kern w:val="0"/>
          <w:sz w:val="32"/>
          <w:szCs w:val="32"/>
          <w:lang w:val="en-US" w:eastAsia="zh-CN"/>
        </w:rPr>
        <w:t>50</w:t>
      </w:r>
      <w:r>
        <w:rPr>
          <w:rFonts w:hint="default" w:ascii="Times New Roman" w:hAnsi="Times New Roman" w:eastAsia="方正仿宋_GBK" w:cs="Times New Roman"/>
          <w:color w:val="auto"/>
          <w:kern w:val="0"/>
          <w:sz w:val="32"/>
          <w:szCs w:val="32"/>
          <w:lang w:val="en-US"/>
        </w:rPr>
        <w:t>,</w:t>
      </w:r>
      <w:r>
        <w:rPr>
          <w:rFonts w:hint="eastAsia" w:ascii="Times New Roman" w:hAnsi="Times New Roman" w:eastAsia="方正仿宋_GBK" w:cs="Times New Roman"/>
          <w:color w:val="auto"/>
          <w:kern w:val="0"/>
          <w:sz w:val="32"/>
          <w:szCs w:val="32"/>
          <w:lang w:val="en-US" w:eastAsia="zh-CN"/>
        </w:rPr>
        <w:t>145</w:t>
      </w:r>
      <w:r>
        <w:rPr>
          <w:rFonts w:hint="default" w:ascii="Times New Roman" w:hAnsi="Times New Roman" w:eastAsia="方正仿宋_GBK" w:cs="Times New Roman"/>
          <w:color w:val="auto"/>
          <w:kern w:val="0"/>
          <w:sz w:val="32"/>
          <w:szCs w:val="32"/>
          <w:lang w:val="en-US"/>
        </w:rPr>
        <w:t>.00元，占一般公共预算财政拨款总支出的</w:t>
      </w:r>
      <w:r>
        <w:rPr>
          <w:rFonts w:hint="eastAsia" w:ascii="Times New Roman" w:hAnsi="Times New Roman" w:eastAsia="方正仿宋_GBK" w:cs="Times New Roman"/>
          <w:color w:val="auto"/>
          <w:kern w:val="0"/>
          <w:sz w:val="32"/>
          <w:szCs w:val="32"/>
          <w:lang w:val="en-US" w:eastAsia="zh-CN"/>
        </w:rPr>
        <w:t>9.52</w:t>
      </w:r>
      <w:r>
        <w:rPr>
          <w:rFonts w:hint="default" w:ascii="Times New Roman" w:hAnsi="Times New Roman" w:eastAsia="方正仿宋_GBK" w:cs="Times New Roman"/>
          <w:color w:val="auto"/>
          <w:kern w:val="0"/>
          <w:sz w:val="32"/>
          <w:szCs w:val="32"/>
          <w:lang w:val="en-US"/>
        </w:rPr>
        <w:t>%,完成年初预算的</w:t>
      </w:r>
      <w:r>
        <w:rPr>
          <w:rFonts w:hint="eastAsia" w:ascii="Times New Roman" w:hAnsi="Times New Roman" w:eastAsia="方正仿宋_GBK" w:cs="Times New Roman"/>
          <w:color w:val="auto"/>
          <w:kern w:val="0"/>
          <w:sz w:val="32"/>
          <w:szCs w:val="32"/>
          <w:lang w:val="en-US" w:eastAsia="zh-CN"/>
        </w:rPr>
        <w:t>105.66</w:t>
      </w:r>
      <w:r>
        <w:rPr>
          <w:rFonts w:hint="default" w:ascii="Times New Roman" w:hAnsi="Times New Roman" w:eastAsia="方正仿宋_GBK" w:cs="Times New Roman"/>
          <w:color w:val="auto"/>
          <w:kern w:val="0"/>
          <w:sz w:val="32"/>
          <w:szCs w:val="32"/>
          <w:lang w:val="en-US"/>
        </w:rPr>
        <w:t>%。主要用于住房公积金支出；合计</w:t>
      </w:r>
      <w:r>
        <w:rPr>
          <w:rFonts w:hint="eastAsia" w:ascii="Times New Roman" w:hAnsi="Times New Roman" w:eastAsia="方正仿宋_GBK" w:cs="Times New Roman"/>
          <w:color w:val="auto"/>
          <w:kern w:val="0"/>
          <w:sz w:val="32"/>
          <w:szCs w:val="32"/>
          <w:lang w:val="en-US" w:eastAsia="zh-CN"/>
        </w:rPr>
        <w:t>50</w:t>
      </w:r>
      <w:r>
        <w:rPr>
          <w:rFonts w:hint="default" w:ascii="Times New Roman" w:hAnsi="Times New Roman" w:eastAsia="方正仿宋_GBK" w:cs="Times New Roman"/>
          <w:color w:val="auto"/>
          <w:kern w:val="0"/>
          <w:sz w:val="32"/>
          <w:szCs w:val="32"/>
          <w:lang w:val="en-US"/>
        </w:rPr>
        <w:t>,</w:t>
      </w:r>
      <w:r>
        <w:rPr>
          <w:rFonts w:hint="eastAsia" w:ascii="Times New Roman" w:hAnsi="Times New Roman" w:eastAsia="方正仿宋_GBK" w:cs="Times New Roman"/>
          <w:color w:val="auto"/>
          <w:kern w:val="0"/>
          <w:sz w:val="32"/>
          <w:szCs w:val="32"/>
          <w:lang w:val="en-US" w:eastAsia="zh-CN"/>
        </w:rPr>
        <w:t>145</w:t>
      </w:r>
      <w:r>
        <w:rPr>
          <w:rFonts w:hint="default" w:ascii="Times New Roman" w:hAnsi="Times New Roman" w:eastAsia="方正仿宋_GBK" w:cs="Times New Roman"/>
          <w:color w:val="auto"/>
          <w:kern w:val="0"/>
          <w:sz w:val="32"/>
          <w:szCs w:val="32"/>
          <w:lang w:val="en-US"/>
        </w:rPr>
        <w:t>.00元。造成预决算差异的主要原因是：</w:t>
      </w:r>
      <w:r>
        <w:rPr>
          <w:rFonts w:hint="eastAsia" w:ascii="Times New Roman" w:hAnsi="Times New Roman" w:eastAsia="方正仿宋_GBK" w:cs="Times New Roman"/>
          <w:color w:val="auto"/>
          <w:kern w:val="0"/>
          <w:sz w:val="32"/>
          <w:szCs w:val="32"/>
          <w:lang w:val="en-US" w:eastAsia="zh-CN"/>
        </w:rPr>
        <w:t>补</w:t>
      </w:r>
      <w:r>
        <w:rPr>
          <w:rFonts w:hint="default" w:ascii="Times New Roman" w:hAnsi="Times New Roman" w:eastAsia="方正仿宋_GBK" w:cs="Times New Roman"/>
          <w:color w:val="auto"/>
          <w:kern w:val="0"/>
          <w:sz w:val="32"/>
          <w:szCs w:val="32"/>
          <w:lang w:val="en-US"/>
        </w:rPr>
        <w:t>发放</w:t>
      </w:r>
      <w:r>
        <w:rPr>
          <w:rFonts w:hint="eastAsia" w:ascii="Times New Roman" w:hAnsi="Times New Roman" w:eastAsia="方正仿宋_GBK" w:cs="Times New Roman"/>
          <w:color w:val="auto"/>
          <w:kern w:val="0"/>
          <w:sz w:val="32"/>
          <w:szCs w:val="32"/>
          <w:lang w:val="en-US" w:eastAsia="zh-CN"/>
        </w:rPr>
        <w:t>2024年度</w:t>
      </w:r>
      <w:r>
        <w:rPr>
          <w:rFonts w:hint="default" w:ascii="Times New Roman" w:hAnsi="Times New Roman" w:eastAsia="方正仿宋_GBK" w:cs="Times New Roman"/>
          <w:color w:val="auto"/>
          <w:kern w:val="0"/>
          <w:sz w:val="32"/>
          <w:szCs w:val="32"/>
          <w:lang w:val="en-US"/>
        </w:rPr>
        <w:t>职工住房公积金。</w:t>
      </w:r>
    </w:p>
    <w:p w14:paraId="2395BA8A">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kern w:val="0"/>
          <w:sz w:val="32"/>
          <w:szCs w:val="32"/>
          <w:lang w:val="en-US"/>
        </w:rPr>
        <w:t>20.粮油物资储备（类）支出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49CDDC83">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21.国有资本经营预算（类）支出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58866BB0">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22.灾害防治及应急管理（类）支出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0A8E29C1">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23.其他（类）支出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35663793">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24.债务还本（类）支出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4146FE8A">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25.债务付息（类）支出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2792EB22">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lang w:val="en-US"/>
        </w:rPr>
        <w:t>26.抗疫特别国债安排（类）支出</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占一般公共预算财政拨款总支出的</w:t>
      </w:r>
      <w:r>
        <w:rPr>
          <w:rFonts w:hint="default" w:ascii="Times New Roman" w:hAnsi="Times New Roman" w:eastAsia="方正仿宋_GBK" w:cs="Times New Roman"/>
          <w:color w:val="auto"/>
          <w:kern w:val="0"/>
          <w:sz w:val="32"/>
          <w:szCs w:val="32"/>
          <w:lang w:val="zh-CN"/>
        </w:rPr>
        <w:t>0.00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lang w:val="en-US" w:eastAsia="zh-CN"/>
        </w:rPr>
        <w:t>年初无此预算。</w:t>
      </w:r>
    </w:p>
    <w:p w14:paraId="7A0317BC">
      <w:pPr>
        <w:pageBreakBefore w:val="0"/>
        <w:widowControl/>
        <w:numPr>
          <w:ilvl w:val="0"/>
          <w:numId w:val="2"/>
        </w:numPr>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财政拨款“三公”经费支出决算情况说明</w:t>
      </w:r>
    </w:p>
    <w:p w14:paraId="4376146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outlineLvl w:val="2"/>
        <w:rPr>
          <w:rFonts w:hint="eastAsia" w:ascii="Times New Roman" w:hAnsi="Times New Roman" w:eastAsia="方正楷体_GBK" w:cs="方正楷体_GBK"/>
          <w:color w:val="auto"/>
          <w:kern w:val="0"/>
          <w:sz w:val="32"/>
          <w:szCs w:val="32"/>
          <w:highlight w:val="none"/>
          <w:lang w:val="en-US" w:eastAsia="zh-CN"/>
        </w:rPr>
      </w:pPr>
      <w:r>
        <w:rPr>
          <w:rFonts w:hint="eastAsia" w:ascii="Times New Roman" w:hAnsi="Times New Roman" w:eastAsia="方正楷体_GBK" w:cs="方正楷体_GBK"/>
          <w:color w:val="auto"/>
          <w:kern w:val="0"/>
          <w:sz w:val="32"/>
          <w:szCs w:val="32"/>
          <w:highlight w:val="none"/>
          <w:lang w:val="en-US" w:eastAsia="zh-CN"/>
        </w:rPr>
        <w:t>（一）总体情况</w:t>
      </w:r>
    </w:p>
    <w:p w14:paraId="321D99D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sz w:val="32"/>
          <w:szCs w:val="32"/>
          <w:lang w:eastAsia="zh-CN"/>
        </w:rPr>
      </w:pPr>
      <w:r>
        <w:rPr>
          <w:rFonts w:hint="eastAsia" w:ascii="Times New Roman" w:hAnsi="Times New Roman" w:eastAsia="方正仿宋_GBK" w:cs="Times New Roman"/>
          <w:color w:val="auto"/>
          <w:kern w:val="0"/>
          <w:sz w:val="32"/>
          <w:szCs w:val="32"/>
          <w:highlight w:val="none"/>
          <w:lang w:val="en-US" w:eastAsia="zh-CN"/>
        </w:rPr>
        <w:t>2025年度</w:t>
      </w:r>
      <w:r>
        <w:rPr>
          <w:rFonts w:hint="default" w:ascii="Times New Roman" w:hAnsi="Times New Roman" w:eastAsia="方正仿宋_GBK" w:cs="Times New Roman"/>
          <w:color w:val="auto"/>
          <w:kern w:val="0"/>
          <w:sz w:val="32"/>
          <w:szCs w:val="32"/>
          <w:highlight w:val="none"/>
        </w:rPr>
        <w:t>财政拨款“三公”经费支出决算中，财政拨款“三公”经费支出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kern w:val="0"/>
          <w:sz w:val="32"/>
          <w:szCs w:val="32"/>
          <w:lang w:val="en-US" w:eastAsia="zh-CN"/>
        </w:rPr>
        <w:t>0.00</w:t>
      </w:r>
      <w:r>
        <w:rPr>
          <w:rFonts w:hint="default" w:ascii="Times New Roman" w:hAnsi="Times New Roman" w:eastAsia="方正仿宋_GBK" w:cs="Times New Roman"/>
          <w:color w:val="auto"/>
          <w:kern w:val="0"/>
          <w:sz w:val="32"/>
          <w:szCs w:val="32"/>
          <w:highlight w:val="none"/>
        </w:rPr>
        <w:t>元，决算为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元，完成</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w:t>
      </w:r>
    </w:p>
    <w:p w14:paraId="01448EF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kern w:val="0"/>
          <w:sz w:val="32"/>
          <w:szCs w:val="32"/>
          <w:highlight w:val="none"/>
        </w:rPr>
        <w:t>因公出国（境）费支出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%；公务用车购置费支出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%；公务用车</w:t>
      </w:r>
      <w:r>
        <w:rPr>
          <w:rFonts w:hint="default" w:ascii="Times New Roman" w:hAnsi="Times New Roman" w:eastAsia="方正仿宋_GBK" w:cs="Times New Roman"/>
          <w:color w:val="auto"/>
          <w:kern w:val="0"/>
          <w:sz w:val="32"/>
          <w:szCs w:val="32"/>
          <w:highlight w:val="none"/>
          <w:lang w:eastAsia="zh-CN"/>
        </w:rPr>
        <w:t>运行维护</w:t>
      </w:r>
      <w:r>
        <w:rPr>
          <w:rFonts w:hint="default" w:ascii="Times New Roman" w:hAnsi="Times New Roman" w:eastAsia="方正仿宋_GBK" w:cs="Times New Roman"/>
          <w:color w:val="auto"/>
          <w:kern w:val="0"/>
          <w:sz w:val="32"/>
          <w:szCs w:val="32"/>
          <w:highlight w:val="none"/>
        </w:rPr>
        <w:t>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val="en-US" w:eastAsia="zh-CN"/>
        </w:rPr>
        <w:t>；</w:t>
      </w:r>
      <w:r>
        <w:rPr>
          <w:rFonts w:hint="default" w:ascii="Times New Roman" w:hAnsi="Times New Roman" w:eastAsia="方正仿宋_GBK" w:cs="Times New Roman"/>
          <w:color w:val="auto"/>
          <w:kern w:val="0"/>
          <w:sz w:val="32"/>
          <w:szCs w:val="32"/>
          <w:highlight w:val="none"/>
        </w:rPr>
        <w:t>公务接待费支出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kern w:val="0"/>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w:t>
      </w:r>
      <w:r>
        <w:rPr>
          <w:rFonts w:hint="default" w:ascii="Times New Roman" w:hAnsi="Times New Roman" w:eastAsia="方正仿宋_GBK" w:cs="Times New Roman"/>
          <w:color w:val="auto"/>
          <w:kern w:val="0"/>
          <w:sz w:val="32"/>
          <w:szCs w:val="32"/>
          <w:highlight w:val="none"/>
          <w:lang w:eastAsia="zh-CN"/>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元，占财政拨款“三公”经费</w:t>
      </w:r>
      <w:r>
        <w:rPr>
          <w:rFonts w:hint="default" w:ascii="Times New Roman" w:hAnsi="Times New Roman" w:eastAsia="方正仿宋_GBK" w:cs="Times New Roman"/>
          <w:color w:val="auto"/>
          <w:kern w:val="0"/>
          <w:sz w:val="32"/>
          <w:szCs w:val="32"/>
          <w:highlight w:val="none"/>
          <w:lang w:eastAsia="zh-CN"/>
        </w:rPr>
        <w:t>总支出决算的</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lang w:eastAsia="zh-CN"/>
        </w:rPr>
        <w:t>。</w:t>
      </w:r>
    </w:p>
    <w:p w14:paraId="24BB423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sz w:val="32"/>
          <w:szCs w:val="32"/>
          <w:highlight w:val="none"/>
        </w:rPr>
        <w:t>因公出国（境）费</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rPr>
        <w:t>公务用车购置费</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rPr>
        <w:t>公务用车</w:t>
      </w:r>
      <w:r>
        <w:rPr>
          <w:rFonts w:hint="default" w:ascii="Times New Roman" w:hAnsi="Times New Roman" w:eastAsia="方正仿宋_GBK" w:cs="Times New Roman"/>
          <w:color w:val="auto"/>
          <w:sz w:val="32"/>
          <w:szCs w:val="32"/>
          <w:highlight w:val="none"/>
          <w:lang w:eastAsia="zh-CN"/>
        </w:rPr>
        <w:t>运行维护费</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rPr>
        <w:t>公务接待费</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；具体是国内接待费支出决算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元（其中：外事接待费支出决算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国（境）外接待费支出决算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p>
    <w:p w14:paraId="434C8BC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outlineLvl w:val="2"/>
        <w:rPr>
          <w:rFonts w:hint="eastAsia" w:ascii="Times New Roman" w:hAnsi="Times New Roman" w:eastAsia="方正楷体_GBK" w:cs="方正楷体_GBK"/>
          <w:color w:val="auto"/>
          <w:kern w:val="0"/>
          <w:sz w:val="32"/>
          <w:szCs w:val="32"/>
          <w:highlight w:val="none"/>
          <w:lang w:val="en-US" w:eastAsia="zh-CN"/>
        </w:rPr>
      </w:pPr>
      <w:r>
        <w:rPr>
          <w:rFonts w:hint="eastAsia" w:ascii="Times New Roman" w:hAnsi="Times New Roman" w:eastAsia="方正楷体_GBK" w:cs="方正楷体_GBK"/>
          <w:color w:val="auto"/>
          <w:kern w:val="0"/>
          <w:sz w:val="32"/>
          <w:szCs w:val="32"/>
          <w:highlight w:val="none"/>
          <w:lang w:val="en-US" w:eastAsia="zh-CN"/>
        </w:rPr>
        <w:t>（二）一般公共预算财政拨款“三公”经费支出决算情况说明</w:t>
      </w:r>
    </w:p>
    <w:p w14:paraId="2DF117F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kern w:val="0"/>
          <w:sz w:val="32"/>
          <w:szCs w:val="32"/>
          <w:highlight w:val="none"/>
          <w:lang w:eastAsia="zh-CN"/>
        </w:rPr>
        <w:t>年初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，支出决算为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kern w:val="0"/>
          <w:sz w:val="32"/>
          <w:szCs w:val="32"/>
          <w:highlight w:val="none"/>
          <w:lang w:eastAsia="zh-CN"/>
        </w:rPr>
        <w:t>支出决算较上年增加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val="en-US" w:eastAsia="zh-CN"/>
        </w:rPr>
        <w:t>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p>
    <w:p w14:paraId="50C48A88">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sz w:val="32"/>
          <w:szCs w:val="32"/>
          <w:highlight w:val="none"/>
          <w:lang w:eastAsia="zh-CN"/>
        </w:rPr>
        <w:t>中：</w:t>
      </w:r>
      <w:r>
        <w:rPr>
          <w:rFonts w:hint="default" w:ascii="Times New Roman" w:hAnsi="Times New Roman" w:eastAsia="方正仿宋_GBK" w:cs="Times New Roman"/>
          <w:color w:val="auto"/>
          <w:sz w:val="32"/>
          <w:szCs w:val="32"/>
          <w:highlight w:val="none"/>
        </w:rPr>
        <w:t>因公出国（境）费支出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；公务用车购置费支出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；公务用车</w:t>
      </w:r>
      <w:r>
        <w:rPr>
          <w:rFonts w:hint="default" w:ascii="Times New Roman" w:hAnsi="Times New Roman" w:eastAsia="方正仿宋_GBK" w:cs="Times New Roman"/>
          <w:color w:val="auto"/>
          <w:sz w:val="32"/>
          <w:szCs w:val="32"/>
          <w:highlight w:val="none"/>
          <w:lang w:eastAsia="zh-CN"/>
        </w:rPr>
        <w:t>运行维护费</w:t>
      </w:r>
      <w:r>
        <w:rPr>
          <w:rFonts w:hint="default" w:ascii="Times New Roman" w:hAnsi="Times New Roman" w:eastAsia="方正仿宋_GBK" w:cs="Times New Roman"/>
          <w:color w:val="auto"/>
          <w:sz w:val="32"/>
          <w:szCs w:val="32"/>
          <w:highlight w:val="none"/>
        </w:rPr>
        <w:t>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；公务接待费支出</w:t>
      </w:r>
      <w:r>
        <w:rPr>
          <w:rFonts w:hint="default" w:ascii="Times New Roman" w:hAnsi="Times New Roman" w:eastAsia="方正仿宋_GBK" w:cs="Times New Roman"/>
          <w:color w:val="auto"/>
          <w:sz w:val="32"/>
          <w:szCs w:val="32"/>
          <w:highlight w:val="none"/>
          <w:lang w:eastAsia="zh-CN"/>
        </w:rPr>
        <w:t>年</w:t>
      </w:r>
      <w:r>
        <w:rPr>
          <w:rFonts w:hint="default" w:ascii="Times New Roman" w:hAnsi="Times New Roman" w:eastAsia="方正仿宋_GBK" w:cs="Times New Roman"/>
          <w:color w:val="auto"/>
          <w:kern w:val="0"/>
          <w:sz w:val="32"/>
          <w:szCs w:val="32"/>
          <w:highlight w:val="none"/>
          <w:lang w:eastAsia="zh-CN"/>
        </w:rPr>
        <w:t>初</w:t>
      </w:r>
      <w:r>
        <w:rPr>
          <w:rFonts w:hint="default" w:ascii="Times New Roman" w:hAnsi="Times New Roman" w:eastAsia="方正仿宋_GBK" w:cs="Times New Roman"/>
          <w:color w:val="auto"/>
          <w:sz w:val="32"/>
          <w:szCs w:val="32"/>
          <w:highlight w:val="none"/>
        </w:rPr>
        <w:t>预算为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，决算为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p>
    <w:p w14:paraId="19C0AA9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sz w:val="32"/>
          <w:szCs w:val="32"/>
          <w:highlight w:val="none"/>
          <w:lang w:eastAsia="zh-CN"/>
        </w:rPr>
        <w:t>中：</w:t>
      </w:r>
      <w:r>
        <w:rPr>
          <w:rFonts w:hint="default" w:ascii="Times New Roman" w:hAnsi="Times New Roman" w:eastAsia="方正仿宋_GBK" w:cs="Times New Roman"/>
          <w:color w:val="auto"/>
          <w:sz w:val="32"/>
          <w:szCs w:val="32"/>
          <w:highlight w:val="none"/>
        </w:rPr>
        <w:t>因公出国（境）费支出决算增加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sz w:val="32"/>
          <w:szCs w:val="32"/>
          <w:highlight w:val="none"/>
        </w:rPr>
        <w:t>；公务用车购置费支出决算增加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sz w:val="32"/>
          <w:szCs w:val="32"/>
          <w:highlight w:val="none"/>
        </w:rPr>
        <w:t>；公务用车</w:t>
      </w:r>
      <w:r>
        <w:rPr>
          <w:rFonts w:hint="default" w:ascii="Times New Roman" w:hAnsi="Times New Roman" w:eastAsia="方正仿宋_GBK" w:cs="Times New Roman"/>
          <w:color w:val="auto"/>
          <w:sz w:val="32"/>
          <w:szCs w:val="32"/>
          <w:highlight w:val="none"/>
          <w:lang w:eastAsia="zh-CN"/>
        </w:rPr>
        <w:t>运行维护费</w:t>
      </w:r>
      <w:r>
        <w:rPr>
          <w:rFonts w:hint="default" w:ascii="Times New Roman" w:hAnsi="Times New Roman" w:eastAsia="方正仿宋_GBK" w:cs="Times New Roman"/>
          <w:color w:val="auto"/>
          <w:sz w:val="32"/>
          <w:szCs w:val="32"/>
          <w:highlight w:val="none"/>
        </w:rPr>
        <w:t>支出决算增加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sz w:val="32"/>
          <w:szCs w:val="32"/>
          <w:highlight w:val="none"/>
        </w:rPr>
        <w:t>；公务接待费支出决算增加</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eastAsia="zh-CN"/>
        </w:rPr>
        <w:t>元</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具体是国内接待费支出决算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元（其中：外事接待费支出决算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元），较上年增加</w:t>
      </w:r>
      <w:r>
        <w:rPr>
          <w:rFonts w:hint="default" w:ascii="Times New Roman" w:hAnsi="Times New Roman" w:eastAsia="方正仿宋_GBK" w:cs="Times New Roman"/>
          <w:color w:val="auto"/>
          <w:kern w:val="0"/>
          <w:sz w:val="32"/>
          <w:szCs w:val="32"/>
          <w:highlight w:val="none"/>
          <w:lang w:val="en-US" w:eastAsia="zh-CN"/>
        </w:rPr>
        <w:t>0.00元，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国（境）外接待费支出决算</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kern w:val="0"/>
          <w:sz w:val="32"/>
          <w:szCs w:val="32"/>
          <w:highlight w:val="none"/>
          <w:lang w:eastAsia="zh-CN"/>
        </w:rPr>
        <w:t>元较上年增加</w:t>
      </w:r>
      <w:r>
        <w:rPr>
          <w:rFonts w:hint="default" w:ascii="Times New Roman" w:hAnsi="Times New Roman" w:eastAsia="方正仿宋_GBK" w:cs="Times New Roman"/>
          <w:color w:val="auto"/>
          <w:kern w:val="0"/>
          <w:sz w:val="32"/>
          <w:szCs w:val="32"/>
          <w:highlight w:val="none"/>
          <w:lang w:val="en-US" w:eastAsia="zh-CN"/>
        </w:rPr>
        <w:t>0.00元，</w:t>
      </w:r>
      <w:r>
        <w:rPr>
          <w:rFonts w:hint="default" w:ascii="Times New Roman" w:hAnsi="Times New Roman" w:eastAsia="方正仿宋_GBK" w:cs="Times New Roman"/>
          <w:color w:val="auto"/>
          <w:sz w:val="32"/>
          <w:szCs w:val="32"/>
          <w:lang w:eastAsia="zh-CN"/>
        </w:rPr>
        <w:t>上年无此项支出</w:t>
      </w:r>
      <w:r>
        <w:rPr>
          <w:rFonts w:hint="default" w:ascii="Times New Roman" w:hAnsi="Times New Roman" w:eastAsia="方正仿宋_GBK" w:cs="Times New Roman"/>
          <w:color w:val="auto"/>
          <w:kern w:val="0"/>
          <w:sz w:val="32"/>
          <w:szCs w:val="32"/>
          <w:highlight w:val="none"/>
          <w:lang w:eastAsia="zh-CN"/>
        </w:rPr>
        <w:t>。</w:t>
      </w:r>
    </w:p>
    <w:p w14:paraId="1D012DC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一般公共预算财政拨款“三公”经费支出</w:t>
      </w:r>
      <w:r>
        <w:rPr>
          <w:rFonts w:hint="default" w:ascii="Times New Roman" w:hAnsi="Times New Roman" w:eastAsia="方正仿宋_GBK" w:cs="Times New Roman"/>
          <w:color w:val="auto"/>
          <w:sz w:val="32"/>
          <w:szCs w:val="32"/>
          <w:highlight w:val="none"/>
          <w:lang w:eastAsia="zh-CN"/>
        </w:rPr>
        <w:t>实物量的</w:t>
      </w:r>
      <w:r>
        <w:rPr>
          <w:rFonts w:hint="default" w:ascii="Times New Roman" w:hAnsi="Times New Roman" w:eastAsia="方正仿宋_GBK" w:cs="Times New Roman"/>
          <w:color w:val="auto"/>
          <w:sz w:val="32"/>
          <w:szCs w:val="32"/>
          <w:highlight w:val="none"/>
        </w:rPr>
        <w:t>具体情况</w:t>
      </w:r>
      <w:r>
        <w:rPr>
          <w:rFonts w:hint="default" w:ascii="Times New Roman" w:hAnsi="Times New Roman" w:eastAsia="方正仿宋_GBK" w:cs="Times New Roman"/>
          <w:color w:val="auto"/>
          <w:sz w:val="32"/>
          <w:szCs w:val="32"/>
          <w:highlight w:val="none"/>
          <w:lang w:eastAsia="zh-CN"/>
        </w:rPr>
        <w:t>：</w:t>
      </w:r>
    </w:p>
    <w:p w14:paraId="246D27B2">
      <w:pPr>
        <w:pageBreakBefore w:val="0"/>
        <w:widowControl/>
        <w:numPr>
          <w:ilvl w:val="0"/>
          <w:numId w:val="0"/>
        </w:numPr>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b w:val="0"/>
          <w:bCs/>
          <w:color w:val="auto"/>
          <w:sz w:val="32"/>
          <w:szCs w:val="32"/>
          <w:highlight w:val="none"/>
        </w:rPr>
      </w:pPr>
      <w:r>
        <w:rPr>
          <w:rFonts w:hint="eastAsia" w:ascii="Times New Roman" w:hAnsi="Times New Roman" w:eastAsia="方正仿宋_GBK" w:cs="Times New Roman"/>
          <w:b w:val="0"/>
          <w:bCs/>
          <w:color w:val="auto"/>
          <w:sz w:val="32"/>
          <w:szCs w:val="32"/>
          <w:highlight w:val="none"/>
          <w:lang w:val="en-US" w:eastAsia="zh-CN"/>
        </w:rPr>
        <w:t>1.</w:t>
      </w:r>
      <w:r>
        <w:rPr>
          <w:rFonts w:hint="default" w:ascii="Times New Roman" w:hAnsi="Times New Roman" w:eastAsia="方正仿宋_GBK" w:cs="Times New Roman"/>
          <w:b w:val="0"/>
          <w:bCs/>
          <w:color w:val="auto"/>
          <w:sz w:val="32"/>
          <w:szCs w:val="32"/>
          <w:highlight w:val="none"/>
        </w:rPr>
        <w:t>安排因公出国（境）团组</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b w:val="0"/>
          <w:bCs/>
          <w:color w:val="auto"/>
          <w:sz w:val="32"/>
          <w:szCs w:val="32"/>
          <w:highlight w:val="none"/>
        </w:rPr>
        <w:t>个，累计</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b w:val="0"/>
          <w:bCs/>
          <w:color w:val="auto"/>
          <w:sz w:val="32"/>
          <w:szCs w:val="32"/>
          <w:highlight w:val="none"/>
        </w:rPr>
        <w:t>人次。</w:t>
      </w:r>
    </w:p>
    <w:p w14:paraId="3B2B53FF">
      <w:pPr>
        <w:pageBreakBefore w:val="0"/>
        <w:widowControl/>
        <w:numPr>
          <w:ilvl w:val="0"/>
          <w:numId w:val="0"/>
        </w:numPr>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b w:val="0"/>
          <w:bCs/>
          <w:color w:val="auto"/>
          <w:sz w:val="32"/>
          <w:szCs w:val="32"/>
          <w:highlight w:val="none"/>
        </w:rPr>
      </w:pPr>
      <w:r>
        <w:rPr>
          <w:rFonts w:hint="default" w:ascii="Times New Roman" w:hAnsi="Times New Roman" w:eastAsia="方正仿宋_GBK" w:cs="Times New Roman"/>
          <w:b w:val="0"/>
          <w:bCs/>
          <w:color w:val="auto"/>
          <w:sz w:val="32"/>
          <w:szCs w:val="32"/>
          <w:highlight w:val="none"/>
        </w:rPr>
        <w:t>2.购置车辆</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b w:val="0"/>
          <w:bCs/>
          <w:color w:val="auto"/>
          <w:sz w:val="32"/>
          <w:szCs w:val="32"/>
          <w:highlight w:val="none"/>
        </w:rPr>
        <w:t>辆。</w:t>
      </w:r>
    </w:p>
    <w:p w14:paraId="0CAC08FC">
      <w:pPr>
        <w:pageBreakBefore w:val="0"/>
        <w:widowControl/>
        <w:kinsoku/>
        <w:overflowPunct/>
        <w:topLinePunct w:val="0"/>
        <w:autoSpaceDE/>
        <w:autoSpaceDN/>
        <w:bidi w:val="0"/>
        <w:snapToGrid w:val="0"/>
        <w:spacing w:before="100" w:after="100" w:line="590" w:lineRule="exact"/>
        <w:ind w:firstLine="640" w:firstLineChars="200"/>
        <w:jc w:val="both"/>
        <w:textAlignment w:val="auto"/>
        <w:rPr>
          <w:rFonts w:hint="default" w:ascii="Times New Roman" w:hAnsi="Times New Roman" w:eastAsia="方正仿宋_GBK" w:cs="Times New Roman"/>
          <w:b w:val="0"/>
          <w:bCs/>
          <w:color w:val="auto"/>
          <w:sz w:val="32"/>
          <w:szCs w:val="32"/>
          <w:highlight w:val="none"/>
          <w:lang w:eastAsia="zh-CN"/>
        </w:rPr>
      </w:pPr>
      <w:r>
        <w:rPr>
          <w:rFonts w:hint="default" w:ascii="Times New Roman" w:hAnsi="Times New Roman" w:eastAsia="方正仿宋_GBK" w:cs="Times New Roman"/>
          <w:b w:val="0"/>
          <w:bCs/>
          <w:color w:val="auto"/>
          <w:sz w:val="32"/>
          <w:szCs w:val="32"/>
          <w:highlight w:val="none"/>
        </w:rPr>
        <w:t>3.安排</w:t>
      </w:r>
      <w:r>
        <w:rPr>
          <w:rFonts w:hint="default" w:ascii="Times New Roman" w:hAnsi="Times New Roman" w:eastAsia="方正仿宋_GBK" w:cs="Times New Roman"/>
          <w:color w:val="auto"/>
          <w:sz w:val="32"/>
          <w:szCs w:val="32"/>
          <w:highlight w:val="none"/>
        </w:rPr>
        <w:t>国内公务接待</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批次（其中：外事接待</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批次），接待人次</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人（其中：外事接待人次</w:t>
      </w:r>
      <w:r>
        <w:rPr>
          <w:rFonts w:hint="default" w:ascii="Times New Roman" w:hAnsi="Times New Roman" w:eastAsia="方正仿宋_GBK" w:cs="Times New Roman"/>
          <w:color w:val="auto"/>
          <w:sz w:val="32"/>
          <w:szCs w:val="32"/>
          <w:lang w:val="zh-CN"/>
        </w:rPr>
        <w:t>0</w:t>
      </w:r>
      <w:r>
        <w:rPr>
          <w:rFonts w:hint="default" w:ascii="Times New Roman" w:hAnsi="Times New Roman" w:eastAsia="方正仿宋_GBK" w:cs="Times New Roman"/>
          <w:color w:val="auto"/>
          <w:sz w:val="32"/>
          <w:szCs w:val="32"/>
          <w:highlight w:val="none"/>
        </w:rPr>
        <w:t>人）。</w:t>
      </w:r>
    </w:p>
    <w:p w14:paraId="35A55D85">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2"/>
        <w:rPr>
          <w:rFonts w:hint="eastAsia" w:ascii="Times New Roman" w:hAnsi="Times New Roman" w:eastAsia="方正楷体_GBK" w:cs="方正楷体_GBK"/>
          <w:color w:val="auto"/>
          <w:sz w:val="32"/>
          <w:szCs w:val="32"/>
          <w:highlight w:val="none"/>
          <w:lang w:eastAsia="zh-CN"/>
        </w:rPr>
      </w:pPr>
      <w:r>
        <w:rPr>
          <w:rFonts w:hint="eastAsia" w:ascii="Times New Roman" w:hAnsi="Times New Roman" w:eastAsia="方正楷体_GBK" w:cs="方正楷体_GBK"/>
          <w:color w:val="auto"/>
          <w:sz w:val="32"/>
          <w:szCs w:val="32"/>
          <w:highlight w:val="none"/>
          <w:lang w:eastAsia="zh-CN"/>
        </w:rPr>
        <w:t>（三）需要说明的事项</w:t>
      </w:r>
    </w:p>
    <w:p w14:paraId="21954FC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40" w:firstLineChars="200"/>
        <w:jc w:val="both"/>
        <w:textAlignment w:val="auto"/>
        <w:rPr>
          <w:rFonts w:hint="default" w:ascii="Times New Roman" w:hAnsi="Times New Roman" w:eastAsia="仿宋_GB2312" w:cs="Times New Roman"/>
          <w:color w:val="FF0000"/>
          <w:sz w:val="32"/>
          <w:szCs w:val="32"/>
          <w:highlight w:val="none"/>
          <w:lang w:eastAsia="zh-CN"/>
        </w:rPr>
      </w:pPr>
      <w:r>
        <w:rPr>
          <w:rFonts w:hint="eastAsia" w:ascii="Times New Roman" w:hAnsi="Times New Roman" w:eastAsia="方正仿宋_GBK" w:cs="方正仿宋_GBK"/>
          <w:color w:val="auto"/>
          <w:sz w:val="32"/>
          <w:szCs w:val="32"/>
          <w:highlight w:val="none"/>
          <w:lang w:eastAsia="zh-CN"/>
        </w:rPr>
        <w:t>不存在需要说明的事项。</w:t>
      </w:r>
    </w:p>
    <w:p w14:paraId="6768A176">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0"/>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第四部分  其他重要事项及相关口径情况说明</w:t>
      </w:r>
    </w:p>
    <w:p w14:paraId="5544EDCD">
      <w:pPr>
        <w:pageBreakBefore w:val="0"/>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rPr>
        <w:t>一</w:t>
      </w:r>
      <w:r>
        <w:rPr>
          <w:rFonts w:hint="eastAsia" w:ascii="Times New Roman" w:hAnsi="Times New Roman" w:eastAsia="方正黑体_GBK" w:cs="方正黑体_GBK"/>
          <w:color w:val="auto"/>
          <w:sz w:val="32"/>
          <w:szCs w:val="32"/>
          <w:highlight w:val="none"/>
          <w:lang w:eastAsia="zh-CN"/>
        </w:rPr>
        <w:t>、</w:t>
      </w:r>
      <w:r>
        <w:rPr>
          <w:rFonts w:hint="eastAsia" w:ascii="Times New Roman" w:hAnsi="Times New Roman" w:eastAsia="方正黑体_GBK" w:cs="方正黑体_GBK"/>
          <w:color w:val="auto"/>
          <w:sz w:val="32"/>
          <w:szCs w:val="32"/>
          <w:highlight w:val="none"/>
        </w:rPr>
        <w:t>机关运行经费支出情况</w:t>
      </w:r>
    </w:p>
    <w:p w14:paraId="7C9DA913">
      <w:pPr>
        <w:pageBreakBefore w:val="0"/>
        <w:kinsoku/>
        <w:overflowPunct/>
        <w:topLinePunct w:val="0"/>
        <w:autoSpaceDE/>
        <w:autoSpaceDN/>
        <w:bidi w:val="0"/>
        <w:spacing w:line="590" w:lineRule="exact"/>
        <w:ind w:firstLine="640" w:firstLineChars="200"/>
        <w:jc w:val="both"/>
        <w:textAlignment w:val="auto"/>
        <w:outlineLvl w:val="1"/>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华宁县文学艺术界联合会</w:t>
      </w:r>
      <w:r>
        <w:rPr>
          <w:rFonts w:hint="eastAsia" w:ascii="Times New Roman" w:hAnsi="Times New Roman" w:eastAsia="方正仿宋_GBK" w:cs="Times New Roman"/>
          <w:color w:val="auto"/>
          <w:sz w:val="32"/>
          <w:szCs w:val="32"/>
          <w:highlight w:val="none"/>
          <w:lang w:eastAsia="zh-CN"/>
        </w:rPr>
        <w:t>2025年</w:t>
      </w:r>
      <w:r>
        <w:rPr>
          <w:rFonts w:hint="default" w:ascii="Times New Roman" w:hAnsi="Times New Roman" w:eastAsia="方正仿宋_GBK" w:cs="Times New Roman"/>
          <w:color w:val="auto"/>
          <w:sz w:val="32"/>
          <w:szCs w:val="32"/>
          <w:highlight w:val="none"/>
        </w:rPr>
        <w:t>机关运行经费支出</w:t>
      </w:r>
      <w:r>
        <w:rPr>
          <w:rFonts w:hint="eastAsia" w:ascii="Times New Roman" w:hAnsi="Times New Roman" w:eastAsia="方正仿宋_GBK" w:cs="Times New Roman"/>
          <w:color w:val="auto"/>
          <w:sz w:val="32"/>
          <w:szCs w:val="32"/>
          <w:highlight w:val="none"/>
          <w:lang w:val="en-US" w:eastAsia="zh-CN"/>
        </w:rPr>
        <w:t>41</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180</w:t>
      </w:r>
      <w:r>
        <w:rPr>
          <w:rFonts w:hint="default" w:ascii="Times New Roman" w:hAnsi="Times New Roman" w:eastAsia="方正仿宋_GBK" w:cs="Times New Roman"/>
          <w:color w:val="auto"/>
          <w:sz w:val="32"/>
          <w:szCs w:val="32"/>
          <w:highlight w:val="none"/>
        </w:rPr>
        <w:t>.00元，比上年</w:t>
      </w:r>
      <w:r>
        <w:rPr>
          <w:rFonts w:hint="eastAsia" w:ascii="Times New Roman" w:hAnsi="Times New Roman" w:eastAsia="方正仿宋_GBK" w:cs="Times New Roman"/>
          <w:color w:val="auto"/>
          <w:sz w:val="32"/>
          <w:szCs w:val="32"/>
          <w:highlight w:val="none"/>
          <w:lang w:eastAsia="zh-CN"/>
        </w:rPr>
        <w:t>增加</w:t>
      </w:r>
      <w:r>
        <w:rPr>
          <w:rFonts w:hint="eastAsia"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397</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00</w:t>
      </w:r>
      <w:r>
        <w:rPr>
          <w:rFonts w:hint="default" w:ascii="Times New Roman" w:hAnsi="Times New Roman" w:eastAsia="方正仿宋_GBK" w:cs="Times New Roman"/>
          <w:color w:val="auto"/>
          <w:sz w:val="32"/>
          <w:szCs w:val="32"/>
          <w:highlight w:val="none"/>
        </w:rPr>
        <w:t>元，</w:t>
      </w:r>
      <w:r>
        <w:rPr>
          <w:rFonts w:hint="eastAsia" w:ascii="Times New Roman" w:hAnsi="Times New Roman" w:eastAsia="方正仿宋_GBK" w:cs="Times New Roman"/>
          <w:color w:val="auto"/>
          <w:sz w:val="32"/>
          <w:szCs w:val="32"/>
          <w:highlight w:val="none"/>
          <w:lang w:eastAsia="zh-CN"/>
        </w:rPr>
        <w:t>增长</w:t>
      </w:r>
      <w:r>
        <w:rPr>
          <w:rFonts w:hint="eastAsia" w:ascii="Times New Roman" w:hAnsi="Times New Roman" w:eastAsia="方正仿宋_GBK" w:cs="Times New Roman"/>
          <w:color w:val="auto"/>
          <w:sz w:val="32"/>
          <w:szCs w:val="32"/>
          <w:highlight w:val="none"/>
          <w:lang w:val="en-US" w:eastAsia="zh-CN"/>
        </w:rPr>
        <w:t>21</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90</w:t>
      </w:r>
      <w:r>
        <w:rPr>
          <w:rFonts w:hint="default" w:ascii="Times New Roman" w:hAnsi="Times New Roman" w:eastAsia="方正仿宋_GBK" w:cs="Times New Roman"/>
          <w:color w:val="auto"/>
          <w:sz w:val="32"/>
          <w:szCs w:val="32"/>
          <w:highlight w:val="none"/>
        </w:rPr>
        <w:t>%,主要原因是</w:t>
      </w:r>
      <w:r>
        <w:rPr>
          <w:rFonts w:hint="eastAsia" w:ascii="Times New Roman" w:hAnsi="Times New Roman" w:eastAsia="方正仿宋_GBK" w:cs="Times New Roman"/>
          <w:color w:val="auto"/>
          <w:sz w:val="32"/>
          <w:szCs w:val="32"/>
          <w:highlight w:val="none"/>
          <w:lang w:eastAsia="zh-CN"/>
        </w:rPr>
        <w:t>支付以前年度办公用品费</w:t>
      </w:r>
      <w:r>
        <w:rPr>
          <w:rFonts w:hint="default" w:ascii="Times New Roman" w:hAnsi="Times New Roman" w:eastAsia="方正仿宋_GBK" w:cs="Times New Roman"/>
          <w:color w:val="auto"/>
          <w:sz w:val="32"/>
          <w:szCs w:val="32"/>
          <w:highlight w:val="none"/>
        </w:rPr>
        <w:t>。部门机关运行经费主要用于办公费支出，合计</w:t>
      </w:r>
      <w:r>
        <w:rPr>
          <w:rFonts w:hint="eastAsia" w:ascii="Times New Roman" w:hAnsi="Times New Roman" w:eastAsia="方正仿宋_GBK" w:cs="Times New Roman"/>
          <w:color w:val="auto"/>
          <w:sz w:val="32"/>
          <w:szCs w:val="32"/>
          <w:highlight w:val="none"/>
          <w:lang w:val="en-US" w:eastAsia="zh-CN"/>
        </w:rPr>
        <w:t>15</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380</w:t>
      </w:r>
      <w:r>
        <w:rPr>
          <w:rFonts w:hint="default" w:ascii="Times New Roman" w:hAnsi="Times New Roman" w:eastAsia="方正仿宋_GBK" w:cs="Times New Roman"/>
          <w:color w:val="auto"/>
          <w:sz w:val="32"/>
          <w:szCs w:val="32"/>
          <w:highlight w:val="none"/>
        </w:rPr>
        <w:t>.00元；工会经费支出，合计</w:t>
      </w: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00.00元；</w:t>
      </w:r>
      <w:r>
        <w:rPr>
          <w:rFonts w:hint="eastAsia" w:ascii="Times New Roman" w:hAnsi="Times New Roman" w:eastAsia="方正仿宋_GBK" w:cs="Times New Roman"/>
          <w:color w:val="auto"/>
          <w:sz w:val="32"/>
          <w:szCs w:val="32"/>
          <w:highlight w:val="none"/>
          <w:lang w:eastAsia="zh-CN"/>
        </w:rPr>
        <w:t>福利费</w:t>
      </w:r>
      <w:r>
        <w:rPr>
          <w:rFonts w:hint="default" w:ascii="Times New Roman" w:hAnsi="Times New Roman" w:eastAsia="方正仿宋_GBK" w:cs="Times New Roman"/>
          <w:color w:val="auto"/>
          <w:sz w:val="32"/>
          <w:szCs w:val="32"/>
          <w:highlight w:val="none"/>
        </w:rPr>
        <w:t>费支出，合计</w:t>
      </w: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50</w:t>
      </w:r>
      <w:r>
        <w:rPr>
          <w:rFonts w:hint="default" w:ascii="Times New Roman" w:hAnsi="Times New Roman" w:eastAsia="方正仿宋_GBK" w:cs="Times New Roman"/>
          <w:color w:val="auto"/>
          <w:sz w:val="32"/>
          <w:szCs w:val="32"/>
          <w:highlight w:val="none"/>
        </w:rPr>
        <w:t>0.00元；其他交通费用支出，合计2</w:t>
      </w:r>
      <w:r>
        <w:rPr>
          <w:rFonts w:hint="eastAsia"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,000.00元。</w:t>
      </w:r>
    </w:p>
    <w:p w14:paraId="2846120C">
      <w:pPr>
        <w:pageBreakBefore w:val="0"/>
        <w:widowControl/>
        <w:numPr>
          <w:ilvl w:val="0"/>
          <w:numId w:val="0"/>
        </w:numPr>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color w:val="auto"/>
          <w:kern w:val="0"/>
          <w:sz w:val="32"/>
          <w:szCs w:val="32"/>
          <w:highlight w:val="none"/>
        </w:rPr>
      </w:pPr>
      <w:r>
        <w:rPr>
          <w:rFonts w:hint="eastAsia" w:ascii="Times New Roman" w:hAnsi="Times New Roman" w:eastAsia="方正黑体_GBK" w:cs="方正黑体_GBK"/>
          <w:color w:val="auto"/>
          <w:sz w:val="32"/>
          <w:szCs w:val="32"/>
          <w:highlight w:val="none"/>
          <w:lang w:eastAsia="zh-CN"/>
        </w:rPr>
        <w:t>二、</w:t>
      </w:r>
      <w:r>
        <w:rPr>
          <w:rFonts w:hint="eastAsia" w:ascii="Times New Roman" w:hAnsi="Times New Roman" w:eastAsia="方正黑体_GBK" w:cs="方正黑体_GBK"/>
          <w:color w:val="auto"/>
          <w:kern w:val="0"/>
          <w:sz w:val="32"/>
          <w:szCs w:val="32"/>
          <w:highlight w:val="none"/>
        </w:rPr>
        <w:t>国有资产占用情况</w:t>
      </w:r>
    </w:p>
    <w:p w14:paraId="5831966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sz w:val="32"/>
          <w:szCs w:val="32"/>
          <w:highlight w:val="none"/>
          <w:lang w:eastAsia="zh-CN"/>
        </w:rPr>
        <w:t>截至202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年末，</w:t>
      </w:r>
      <w:r>
        <w:rPr>
          <w:rFonts w:hint="default" w:ascii="Times New Roman" w:hAnsi="Times New Roman" w:eastAsia="方正仿宋_GBK" w:cs="Times New Roman"/>
          <w:color w:val="auto"/>
          <w:sz w:val="32"/>
          <w:szCs w:val="32"/>
          <w:lang w:val="zh-CN"/>
        </w:rPr>
        <w:t>华宁县文学艺术界联合会</w:t>
      </w:r>
      <w:r>
        <w:rPr>
          <w:rFonts w:hint="default" w:ascii="Times New Roman" w:hAnsi="Times New Roman" w:eastAsia="方正仿宋_GBK" w:cs="Times New Roman"/>
          <w:color w:val="auto"/>
          <w:sz w:val="32"/>
          <w:szCs w:val="32"/>
          <w:highlight w:val="none"/>
          <w:lang w:eastAsia="zh-CN"/>
        </w:rPr>
        <w:t>资产总额</w:t>
      </w:r>
      <w:r>
        <w:rPr>
          <w:rFonts w:hint="default" w:ascii="Times New Roman" w:hAnsi="Times New Roman" w:eastAsia="方正仿宋_GBK" w:cs="Times New Roman"/>
          <w:color w:val="auto"/>
          <w:sz w:val="32"/>
          <w:szCs w:val="32"/>
          <w:lang w:val="en-US" w:eastAsia="zh-CN"/>
        </w:rPr>
        <w:t>12,277.52</w:t>
      </w:r>
      <w:r>
        <w:rPr>
          <w:rFonts w:hint="default" w:ascii="Times New Roman" w:hAnsi="Times New Roman" w:eastAsia="方正仿宋_GBK" w:cs="Times New Roman"/>
          <w:color w:val="auto"/>
          <w:sz w:val="32"/>
          <w:szCs w:val="32"/>
          <w:highlight w:val="none"/>
          <w:lang w:eastAsia="zh-CN"/>
        </w:rPr>
        <w:t>元，其中，流动资产</w:t>
      </w:r>
      <w:r>
        <w:rPr>
          <w:rFonts w:hint="default" w:ascii="Times New Roman" w:hAnsi="Times New Roman" w:eastAsia="方正仿宋_GBK" w:cs="Times New Roman"/>
          <w:color w:val="auto"/>
          <w:sz w:val="32"/>
          <w:szCs w:val="32"/>
          <w:lang w:val="en-US" w:eastAsia="zh-CN"/>
        </w:rPr>
        <w:t>322.49</w:t>
      </w:r>
      <w:r>
        <w:rPr>
          <w:rFonts w:hint="default" w:ascii="Times New Roman" w:hAnsi="Times New Roman" w:eastAsia="方正仿宋_GBK" w:cs="Times New Roman"/>
          <w:color w:val="auto"/>
          <w:sz w:val="32"/>
          <w:szCs w:val="32"/>
          <w:highlight w:val="none"/>
          <w:lang w:eastAsia="zh-CN"/>
        </w:rPr>
        <w:t>元，固定资产</w:t>
      </w:r>
      <w:r>
        <w:rPr>
          <w:rFonts w:hint="default" w:ascii="Times New Roman" w:hAnsi="Times New Roman" w:eastAsia="方正仿宋_GBK" w:cs="Times New Roman"/>
          <w:color w:val="auto"/>
          <w:sz w:val="32"/>
          <w:szCs w:val="32"/>
          <w:lang w:val="en-US" w:eastAsia="zh-CN"/>
        </w:rPr>
        <w:t>11,955.03</w:t>
      </w:r>
      <w:r>
        <w:rPr>
          <w:rFonts w:hint="default" w:ascii="Times New Roman" w:hAnsi="Times New Roman" w:eastAsia="方正仿宋_GBK" w:cs="Times New Roman"/>
          <w:color w:val="auto"/>
          <w:sz w:val="32"/>
          <w:szCs w:val="32"/>
          <w:highlight w:val="none"/>
          <w:lang w:eastAsia="zh-CN"/>
        </w:rPr>
        <w:t>元（净值），对外投资及有价证券</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highlight w:val="none"/>
          <w:lang w:eastAsia="zh-CN"/>
        </w:rPr>
        <w:t>元，在建工程</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highlight w:val="none"/>
          <w:lang w:eastAsia="zh-CN"/>
        </w:rPr>
        <w:t>元，无形资产</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highlight w:val="none"/>
          <w:lang w:eastAsia="zh-CN"/>
        </w:rPr>
        <w:t>元（净值），其他资产</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sz w:val="32"/>
          <w:szCs w:val="32"/>
          <w:highlight w:val="none"/>
          <w:lang w:eastAsia="zh-CN"/>
        </w:rPr>
        <w:t>元（净值）（具体内容详见附表）</w:t>
      </w:r>
      <w:r>
        <w:rPr>
          <w:rFonts w:hint="default" w:ascii="Times New Roman" w:hAnsi="Times New Roman" w:eastAsia="方正仿宋_GBK" w:cs="Times New Roman"/>
          <w:color w:val="auto"/>
          <w:kern w:val="0"/>
          <w:sz w:val="32"/>
          <w:szCs w:val="32"/>
          <w:highlight w:val="none"/>
        </w:rPr>
        <w:t>。与上年相比，本年资产总额减少</w:t>
      </w:r>
      <w:r>
        <w:rPr>
          <w:rFonts w:hint="default" w:ascii="Times New Roman" w:hAnsi="Times New Roman" w:eastAsia="方正仿宋_GBK" w:cs="Times New Roman"/>
          <w:color w:val="auto"/>
          <w:sz w:val="32"/>
          <w:szCs w:val="32"/>
          <w:lang w:val="en-US" w:eastAsia="zh-CN"/>
        </w:rPr>
        <w:t>17,157.82</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，其中固定资产</w:t>
      </w:r>
      <w:r>
        <w:rPr>
          <w:rFonts w:hint="default" w:ascii="Times New Roman" w:hAnsi="Times New Roman" w:eastAsia="方正仿宋_GBK" w:cs="Times New Roman"/>
          <w:color w:val="auto"/>
          <w:kern w:val="0"/>
          <w:sz w:val="32"/>
          <w:szCs w:val="32"/>
          <w:highlight w:val="none"/>
          <w:lang w:eastAsia="zh-CN"/>
        </w:rPr>
        <w:t>增加</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。处置房屋建筑物</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rPr>
        <w:t>平方米，账面原值</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；处置车辆</w:t>
      </w:r>
      <w:r>
        <w:rPr>
          <w:rFonts w:hint="default" w:ascii="Times New Roman" w:hAnsi="Times New Roman" w:eastAsia="方正仿宋_GBK" w:cs="Times New Roman"/>
          <w:color w:val="auto"/>
          <w:kern w:val="0"/>
          <w:sz w:val="32"/>
          <w:szCs w:val="32"/>
          <w:highlight w:val="none"/>
          <w:lang w:val="en-US" w:eastAsia="zh-CN"/>
        </w:rPr>
        <w:t>0</w:t>
      </w:r>
      <w:r>
        <w:rPr>
          <w:rFonts w:hint="default" w:ascii="Times New Roman" w:hAnsi="Times New Roman" w:eastAsia="方正仿宋_GBK" w:cs="Times New Roman"/>
          <w:color w:val="auto"/>
          <w:kern w:val="0"/>
          <w:sz w:val="32"/>
          <w:szCs w:val="32"/>
          <w:highlight w:val="none"/>
        </w:rPr>
        <w:t>辆，账面原值</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；报废报损资产</w:t>
      </w:r>
      <w:r>
        <w:rPr>
          <w:rFonts w:hint="default" w:ascii="Times New Roman" w:hAnsi="Times New Roman" w:eastAsia="方正仿宋_GBK" w:cs="Times New Roman"/>
          <w:color w:val="auto"/>
          <w:kern w:val="0"/>
          <w:sz w:val="32"/>
          <w:szCs w:val="32"/>
          <w:highlight w:val="none"/>
          <w:lang w:val="en-US" w:eastAsia="zh-CN"/>
        </w:rPr>
        <w:t>0</w:t>
      </w:r>
      <w:r>
        <w:rPr>
          <w:rFonts w:hint="default" w:ascii="Times New Roman" w:hAnsi="Times New Roman" w:eastAsia="方正仿宋_GBK" w:cs="Times New Roman"/>
          <w:color w:val="auto"/>
          <w:kern w:val="0"/>
          <w:sz w:val="32"/>
          <w:szCs w:val="32"/>
          <w:highlight w:val="none"/>
        </w:rPr>
        <w:t>项，账面原值</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，实现资产处置收入</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；出租房屋</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rPr>
        <w:t>平方米，账面原值</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，实现资产使用收入</w:t>
      </w:r>
      <w:r>
        <w:rPr>
          <w:rFonts w:hint="default" w:ascii="Times New Roman" w:hAnsi="Times New Roman" w:eastAsia="方正仿宋_GBK" w:cs="Times New Roman"/>
          <w:color w:val="auto"/>
          <w:sz w:val="32"/>
          <w:szCs w:val="32"/>
          <w:lang w:val="en-US" w:eastAsia="zh-CN"/>
        </w:rPr>
        <w:t>0.00</w:t>
      </w:r>
      <w:r>
        <w:rPr>
          <w:rFonts w:hint="default" w:ascii="Times New Roman" w:hAnsi="Times New Roman" w:eastAsia="方正仿宋_GBK" w:cs="Times New Roman"/>
          <w:color w:val="auto"/>
          <w:kern w:val="0"/>
          <w:sz w:val="32"/>
          <w:szCs w:val="32"/>
          <w:highlight w:val="none"/>
          <w:lang w:eastAsia="zh-CN"/>
        </w:rPr>
        <w:t>元</w:t>
      </w:r>
      <w:r>
        <w:rPr>
          <w:rFonts w:hint="default" w:ascii="Times New Roman" w:hAnsi="Times New Roman" w:eastAsia="方正仿宋_GBK" w:cs="Times New Roman"/>
          <w:color w:val="auto"/>
          <w:kern w:val="0"/>
          <w:sz w:val="32"/>
          <w:szCs w:val="32"/>
          <w:highlight w:val="none"/>
        </w:rPr>
        <w:t>。</w:t>
      </w:r>
    </w:p>
    <w:p w14:paraId="03220A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kern w:val="0"/>
          <w:sz w:val="32"/>
          <w:szCs w:val="32"/>
          <w:highlight w:val="none"/>
          <w:lang w:eastAsia="zh-CN"/>
        </w:rPr>
      </w:pP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国有资产占有使用情况表</w:t>
      </w:r>
      <w:r>
        <w:rPr>
          <w:rFonts w:hint="default" w:ascii="Times New Roman" w:hAnsi="Times New Roman" w:eastAsia="方正仿宋_GBK" w:cs="Times New Roman"/>
          <w:color w:val="auto"/>
          <w:kern w:val="0"/>
          <w:sz w:val="32"/>
          <w:szCs w:val="32"/>
          <w:highlight w:val="none"/>
          <w:lang w:eastAsia="zh-CN"/>
        </w:rPr>
        <w:t>详见公开表</w:t>
      </w:r>
      <w:r>
        <w:rPr>
          <w:rFonts w:hint="default" w:ascii="Times New Roman" w:hAnsi="Times New Roman" w:eastAsia="方正仿宋_GBK" w:cs="Times New Roman"/>
          <w:color w:val="auto"/>
          <w:kern w:val="0"/>
          <w:sz w:val="32"/>
          <w:szCs w:val="32"/>
          <w:highlight w:val="none"/>
          <w:lang w:val="en-US" w:eastAsia="zh-CN"/>
        </w:rPr>
        <w:t>12表</w:t>
      </w:r>
      <w:r>
        <w:rPr>
          <w:rFonts w:hint="default" w:ascii="Times New Roman" w:hAnsi="Times New Roman" w:eastAsia="方正仿宋_GBK" w:cs="Times New Roman"/>
          <w:color w:val="auto"/>
          <w:kern w:val="0"/>
          <w:sz w:val="32"/>
          <w:szCs w:val="32"/>
          <w:highlight w:val="none"/>
          <w:lang w:eastAsia="zh-CN"/>
        </w:rPr>
        <w:t>）。</w:t>
      </w:r>
    </w:p>
    <w:tbl>
      <w:tblPr>
        <w:tblStyle w:val="6"/>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gridCol w:w="142"/>
      </w:tblGrid>
      <w:tr w14:paraId="05F24855">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4D4D7212">
            <w:pPr>
              <w:pageBreakBefore w:val="0"/>
              <w:widowControl/>
              <w:kinsoku/>
              <w:overflowPunct/>
              <w:topLinePunct w:val="0"/>
              <w:autoSpaceDE/>
              <w:autoSpaceDN/>
              <w:bidi w:val="0"/>
              <w:spacing w:line="590" w:lineRule="exact"/>
              <w:jc w:val="both"/>
              <w:textAlignment w:val="auto"/>
              <w:rPr>
                <w:rFonts w:hint="default" w:ascii="Times New Roman" w:hAnsi="Times New Roman" w:cs="Times New Roman"/>
                <w:color w:val="auto"/>
                <w:kern w:val="0"/>
                <w:sz w:val="32"/>
                <w:szCs w:val="32"/>
                <w:highlight w:val="none"/>
              </w:rPr>
            </w:pPr>
          </w:p>
        </w:tc>
        <w:tc>
          <w:tcPr>
            <w:tcW w:w="142" w:type="dxa"/>
            <w:tcBorders>
              <w:top w:val="nil"/>
              <w:left w:val="nil"/>
              <w:bottom w:val="nil"/>
              <w:right w:val="nil"/>
            </w:tcBorders>
            <w:noWrap w:val="0"/>
            <w:vAlign w:val="center"/>
          </w:tcPr>
          <w:p w14:paraId="11427FF5">
            <w:pPr>
              <w:pageBreakBefore w:val="0"/>
              <w:widowControl/>
              <w:kinsoku/>
              <w:overflowPunct/>
              <w:topLinePunct w:val="0"/>
              <w:autoSpaceDE/>
              <w:autoSpaceDN/>
              <w:bidi w:val="0"/>
              <w:spacing w:line="590" w:lineRule="exact"/>
              <w:jc w:val="both"/>
              <w:textAlignment w:val="auto"/>
              <w:rPr>
                <w:rFonts w:hint="default" w:ascii="Times New Roman" w:hAnsi="Times New Roman" w:cs="Times New Roman"/>
                <w:color w:val="auto"/>
                <w:kern w:val="0"/>
                <w:sz w:val="32"/>
                <w:szCs w:val="32"/>
                <w:highlight w:val="none"/>
              </w:rPr>
            </w:pPr>
          </w:p>
        </w:tc>
      </w:tr>
      <w:tr w14:paraId="5FF89535">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6F8EDD23">
            <w:pPr>
              <w:pageBreakBefore w:val="0"/>
              <w:widowControl/>
              <w:kinsoku/>
              <w:overflowPunct/>
              <w:topLinePunct w:val="0"/>
              <w:autoSpaceDE/>
              <w:autoSpaceDN/>
              <w:bidi w:val="0"/>
              <w:spacing w:line="590" w:lineRule="exact"/>
              <w:jc w:val="both"/>
              <w:textAlignment w:val="auto"/>
              <w:rPr>
                <w:rFonts w:hint="default" w:ascii="Times New Roman" w:hAnsi="Times New Roman" w:cs="Times New Roman"/>
                <w:color w:val="auto"/>
                <w:kern w:val="0"/>
                <w:sz w:val="32"/>
                <w:szCs w:val="32"/>
                <w:highlight w:val="none"/>
              </w:rPr>
            </w:pPr>
          </w:p>
        </w:tc>
        <w:tc>
          <w:tcPr>
            <w:tcW w:w="142" w:type="dxa"/>
            <w:tcBorders>
              <w:top w:val="nil"/>
              <w:left w:val="nil"/>
              <w:bottom w:val="nil"/>
              <w:right w:val="nil"/>
            </w:tcBorders>
            <w:noWrap w:val="0"/>
            <w:vAlign w:val="center"/>
          </w:tcPr>
          <w:p w14:paraId="4EF52236">
            <w:pPr>
              <w:pageBreakBefore w:val="0"/>
              <w:widowControl/>
              <w:kinsoku/>
              <w:overflowPunct/>
              <w:topLinePunct w:val="0"/>
              <w:autoSpaceDE/>
              <w:autoSpaceDN/>
              <w:bidi w:val="0"/>
              <w:spacing w:line="590" w:lineRule="exact"/>
              <w:jc w:val="both"/>
              <w:textAlignment w:val="auto"/>
              <w:rPr>
                <w:rFonts w:hint="default" w:ascii="Times New Roman" w:hAnsi="Times New Roman" w:cs="Times New Roman"/>
                <w:color w:val="auto"/>
                <w:kern w:val="0"/>
                <w:sz w:val="32"/>
                <w:szCs w:val="32"/>
                <w:highlight w:val="none"/>
              </w:rPr>
            </w:pPr>
          </w:p>
        </w:tc>
      </w:tr>
      <w:tr w14:paraId="7D9AE3A5">
        <w:tblPrEx>
          <w:tblCellMar>
            <w:top w:w="0" w:type="dxa"/>
            <w:left w:w="0" w:type="dxa"/>
            <w:bottom w:w="0" w:type="dxa"/>
            <w:right w:w="0" w:type="dxa"/>
          </w:tblCellMar>
        </w:tblPrEx>
        <w:trPr>
          <w:trHeight w:val="495" w:hRule="atLeast"/>
        </w:trPr>
        <w:tc>
          <w:tcPr>
            <w:tcW w:w="142" w:type="dxa"/>
            <w:noWrap w:val="0"/>
            <w:vAlign w:val="center"/>
          </w:tcPr>
          <w:p w14:paraId="30E87490">
            <w:pPr>
              <w:pageBreakBefore w:val="0"/>
              <w:widowControl/>
              <w:kinsoku/>
              <w:overflowPunct/>
              <w:topLinePunct w:val="0"/>
              <w:autoSpaceDE/>
              <w:autoSpaceDN/>
              <w:bidi w:val="0"/>
              <w:spacing w:line="590" w:lineRule="exact"/>
              <w:jc w:val="both"/>
              <w:textAlignment w:val="auto"/>
              <w:rPr>
                <w:rFonts w:hint="default" w:ascii="Times New Roman" w:hAnsi="Times New Roman" w:eastAsia="Times New Roman" w:cs="Times New Roman"/>
                <w:color w:val="auto"/>
                <w:kern w:val="0"/>
                <w:sz w:val="32"/>
                <w:szCs w:val="32"/>
                <w:highlight w:val="none"/>
              </w:rPr>
            </w:pPr>
          </w:p>
        </w:tc>
        <w:tc>
          <w:tcPr>
            <w:tcW w:w="142" w:type="dxa"/>
            <w:noWrap w:val="0"/>
            <w:vAlign w:val="center"/>
          </w:tcPr>
          <w:p w14:paraId="74ACB310">
            <w:pPr>
              <w:pageBreakBefore w:val="0"/>
              <w:widowControl/>
              <w:kinsoku/>
              <w:overflowPunct/>
              <w:topLinePunct w:val="0"/>
              <w:autoSpaceDE/>
              <w:autoSpaceDN/>
              <w:bidi w:val="0"/>
              <w:spacing w:line="590" w:lineRule="exact"/>
              <w:jc w:val="both"/>
              <w:textAlignment w:val="auto"/>
              <w:rPr>
                <w:rFonts w:hint="default" w:ascii="Times New Roman" w:hAnsi="Times New Roman" w:eastAsia="Times New Roman" w:cs="Times New Roman"/>
                <w:color w:val="auto"/>
                <w:kern w:val="0"/>
                <w:sz w:val="32"/>
                <w:szCs w:val="32"/>
                <w:highlight w:val="none"/>
              </w:rPr>
            </w:pPr>
          </w:p>
        </w:tc>
      </w:tr>
    </w:tbl>
    <w:p w14:paraId="4A933175">
      <w:pPr>
        <w:pageBreakBefore w:val="0"/>
        <w:widowControl/>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color w:val="auto"/>
          <w:sz w:val="32"/>
          <w:szCs w:val="32"/>
          <w:highlight w:val="none"/>
        </w:rPr>
      </w:pPr>
      <w:r>
        <w:rPr>
          <w:rFonts w:hint="eastAsia" w:ascii="Times New Roman" w:hAnsi="Times New Roman" w:eastAsia="方正黑体_GBK" w:cs="方正黑体_GBK"/>
          <w:color w:val="auto"/>
          <w:sz w:val="32"/>
          <w:szCs w:val="32"/>
          <w:highlight w:val="none"/>
          <w:lang w:eastAsia="zh-CN"/>
        </w:rPr>
        <w:t>三、政</w:t>
      </w:r>
      <w:r>
        <w:rPr>
          <w:rFonts w:hint="eastAsia" w:ascii="Times New Roman" w:hAnsi="Times New Roman" w:eastAsia="方正黑体_GBK" w:cs="方正黑体_GBK"/>
          <w:color w:val="auto"/>
          <w:sz w:val="32"/>
          <w:szCs w:val="32"/>
          <w:highlight w:val="none"/>
        </w:rPr>
        <w:t>府采购支出情况</w:t>
      </w:r>
    </w:p>
    <w:p w14:paraId="0E92EEB6">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lang w:val="en-US" w:eastAsia="zh-CN"/>
        </w:rPr>
        <w:t>，部门政府采购支出总额</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val="en-US" w:eastAsia="zh-CN"/>
        </w:rPr>
        <w:t>元，其中：政府采购货物支出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val="en-US" w:eastAsia="zh-CN"/>
        </w:rPr>
        <w:t>元；政府采购工程支出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val="en-US" w:eastAsia="zh-CN"/>
        </w:rPr>
        <w:t>元；政府采购服务支出</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val="en-US" w:eastAsia="zh-CN"/>
        </w:rPr>
        <w:t>元。授予中小企业合同金额</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val="en-US" w:eastAsia="zh-CN"/>
        </w:rPr>
        <w:t>元，其中：授予小微企业合同金额</w:t>
      </w:r>
      <w:r>
        <w:rPr>
          <w:rFonts w:hint="default" w:ascii="Times New Roman" w:hAnsi="Times New Roman" w:eastAsia="方正仿宋_GBK" w:cs="Times New Roman"/>
          <w:color w:val="auto"/>
          <w:sz w:val="32"/>
          <w:szCs w:val="32"/>
          <w:lang w:val="zh-CN"/>
        </w:rPr>
        <w:t>0.00</w:t>
      </w:r>
      <w:r>
        <w:rPr>
          <w:rFonts w:hint="default" w:ascii="Times New Roman" w:hAnsi="Times New Roman" w:eastAsia="方正仿宋_GBK" w:cs="Times New Roman"/>
          <w:color w:val="auto"/>
          <w:sz w:val="32"/>
          <w:szCs w:val="32"/>
          <w:highlight w:val="none"/>
          <w:lang w:val="en-US" w:eastAsia="zh-CN"/>
        </w:rPr>
        <w:t>元。</w:t>
      </w:r>
    </w:p>
    <w:p w14:paraId="18E45DFD">
      <w:pPr>
        <w:pageBreakBefore w:val="0"/>
        <w:widowControl/>
        <w:kinsoku/>
        <w:overflowPunct/>
        <w:topLinePunct w:val="0"/>
        <w:autoSpaceDE/>
        <w:autoSpaceDN/>
        <w:bidi w:val="0"/>
        <w:spacing w:line="590" w:lineRule="exact"/>
        <w:ind w:firstLine="640" w:firstLineChars="200"/>
        <w:jc w:val="both"/>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四、部门绩效自评情况</w:t>
      </w:r>
    </w:p>
    <w:p w14:paraId="6B56D7F1">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（一）部门整体支出绩效自评情况</w:t>
      </w:r>
    </w:p>
    <w:p w14:paraId="2A5C7D4E">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仿宋_GBK" w:cs="方正仿宋_GBK"/>
          <w:sz w:val="32"/>
          <w:szCs w:val="32"/>
          <w:lang w:eastAsia="zh-CN"/>
        </w:rPr>
      </w:pPr>
      <w:r>
        <w:rPr>
          <w:rFonts w:hint="default" w:ascii="Times New Roman" w:hAnsi="Times New Roman" w:eastAsia="方正仿宋_GBK" w:cs="Times New Roman"/>
          <w:sz w:val="32"/>
          <w:szCs w:val="32"/>
          <w:lang w:eastAsia="zh-CN"/>
        </w:rPr>
        <w:t>部门整体支出绩效自评情况详见公开表13表。</w:t>
      </w:r>
    </w:p>
    <w:p w14:paraId="385689C0">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（二）部门整体支出绩效自评表</w:t>
      </w:r>
    </w:p>
    <w:p w14:paraId="61FB3E1D">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部门整体支出绩效自评表详见公开表14表。</w:t>
      </w:r>
    </w:p>
    <w:p w14:paraId="4B672733">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楷体_GBK" w:cs="方正楷体_GBK"/>
          <w:sz w:val="32"/>
          <w:szCs w:val="32"/>
          <w:lang w:eastAsia="zh-CN"/>
        </w:rPr>
      </w:pPr>
      <w:r>
        <w:rPr>
          <w:rFonts w:hint="eastAsia" w:ascii="Times New Roman" w:hAnsi="Times New Roman" w:eastAsia="方正楷体_GBK" w:cs="方正楷体_GBK"/>
          <w:sz w:val="32"/>
          <w:szCs w:val="32"/>
          <w:lang w:eastAsia="zh-CN"/>
        </w:rPr>
        <w:t>（三）项目支出绩效自评表</w:t>
      </w:r>
    </w:p>
    <w:p w14:paraId="6E7ED129">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项目支出绩效自评表详见公开表15表。</w:t>
      </w:r>
    </w:p>
    <w:p w14:paraId="2FD287F3">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五、其他重要事项情况说明</w:t>
      </w:r>
    </w:p>
    <w:p w14:paraId="1B9140FA">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sz w:val="32"/>
          <w:szCs w:val="32"/>
          <w:highlight w:val="none"/>
          <w:lang w:val="en-US" w:eastAsia="zh-CN"/>
        </w:rPr>
        <w:t>无其他重要事项情况说明。</w:t>
      </w:r>
    </w:p>
    <w:p w14:paraId="38A44663">
      <w:pPr>
        <w:pageBreakBefore w:val="0"/>
        <w:widowControl/>
        <w:kinsoku/>
        <w:overflowPunct/>
        <w:topLinePunct w:val="0"/>
        <w:autoSpaceDE/>
        <w:autoSpaceDN/>
        <w:bidi w:val="0"/>
        <w:snapToGrid w:val="0"/>
        <w:spacing w:before="100" w:after="100" w:line="590" w:lineRule="exact"/>
        <w:ind w:firstLine="640" w:firstLineChars="200"/>
        <w:jc w:val="both"/>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六、相关口径说明</w:t>
      </w:r>
    </w:p>
    <w:p w14:paraId="2FE59339">
      <w:pPr>
        <w:pageBreakBefore w:val="0"/>
        <w:kinsoku/>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eastAsia="zh-CN"/>
        </w:rPr>
        <w:t>（一）</w:t>
      </w:r>
      <w:r>
        <w:rPr>
          <w:rFonts w:hint="eastAsia" w:ascii="Times New Roman" w:hAnsi="Times New Roman" w:eastAsia="方正仿宋_GBK" w:cs="方正仿宋_GBK"/>
          <w:sz w:val="32"/>
          <w:szCs w:val="32"/>
          <w:highlight w:val="none"/>
        </w:rPr>
        <w:t>基本支出中人员经费包括工资福利支出和对个人和家庭的补助，公用</w:t>
      </w:r>
      <w:r>
        <w:rPr>
          <w:rFonts w:hint="eastAsia" w:ascii="Times New Roman" w:hAnsi="Times New Roman" w:eastAsia="方正仿宋_GBK" w:cs="方正仿宋_GBK"/>
          <w:sz w:val="32"/>
          <w:szCs w:val="32"/>
          <w:highlight w:val="none"/>
          <w:lang w:eastAsia="zh-CN"/>
        </w:rPr>
        <w:t>经费</w:t>
      </w:r>
      <w:r>
        <w:rPr>
          <w:rFonts w:hint="eastAsia" w:ascii="Times New Roman" w:hAnsi="Times New Roman" w:eastAsia="方正仿宋_GBK" w:cs="方正仿宋_GBK"/>
          <w:sz w:val="32"/>
          <w:szCs w:val="32"/>
          <w:highlight w:val="none"/>
        </w:rPr>
        <w:t>包括商品和服务支出、资本性支出等人员经费以外的支出。</w:t>
      </w:r>
    </w:p>
    <w:p w14:paraId="4EA19B45">
      <w:pPr>
        <w:pageBreakBefore w:val="0"/>
        <w:kinsoku/>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eastAsia="zh-CN"/>
        </w:rPr>
        <w:t>（二）</w:t>
      </w:r>
      <w:r>
        <w:rPr>
          <w:rFonts w:hint="eastAsia" w:ascii="Times New Roman" w:hAnsi="Times New Roman" w:eastAsia="方正仿宋_GBK" w:cs="方正仿宋_GBK"/>
          <w:sz w:val="32"/>
          <w:szCs w:val="32"/>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仿宋_GBK"/>
          <w:sz w:val="32"/>
          <w:szCs w:val="32"/>
          <w:highlight w:val="none"/>
          <w:lang w:eastAsia="zh-CN"/>
        </w:rPr>
        <w:t>。</w:t>
      </w:r>
    </w:p>
    <w:p w14:paraId="4FBFA304">
      <w:pPr>
        <w:pageBreakBefore w:val="0"/>
        <w:kinsoku/>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方正仿宋_GBK"/>
          <w:sz w:val="32"/>
          <w:szCs w:val="32"/>
          <w:highlight w:val="none"/>
          <w:lang w:eastAsia="zh-CN"/>
        </w:rPr>
      </w:pPr>
      <w:r>
        <w:rPr>
          <w:rFonts w:hint="eastAsia" w:ascii="Times New Roman" w:hAnsi="Times New Roman" w:eastAsia="方正仿宋_GBK" w:cs="方正仿宋_GBK"/>
          <w:sz w:val="32"/>
          <w:szCs w:val="32"/>
          <w:highlight w:val="none"/>
          <w:lang w:eastAsia="zh-CN"/>
        </w:rPr>
        <w:t>（三）</w:t>
      </w:r>
      <w:r>
        <w:rPr>
          <w:rFonts w:hint="eastAsia" w:ascii="Times New Roman" w:hAnsi="Times New Roman" w:eastAsia="方正仿宋_GBK" w:cs="方正仿宋_GBK"/>
          <w:sz w:val="32"/>
          <w:szCs w:val="32"/>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仿宋_GBK"/>
          <w:sz w:val="32"/>
          <w:szCs w:val="32"/>
          <w:highlight w:val="none"/>
          <w:lang w:eastAsia="zh-CN"/>
        </w:rPr>
        <w:t>、牌照费</w:t>
      </w:r>
      <w:r>
        <w:rPr>
          <w:rFonts w:hint="eastAsia" w:ascii="Times New Roman" w:hAnsi="Times New Roman" w:eastAsia="方正仿宋_GBK" w:cs="方正仿宋_GBK"/>
          <w:sz w:val="32"/>
          <w:szCs w:val="32"/>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仿宋_GBK"/>
          <w:sz w:val="32"/>
          <w:szCs w:val="32"/>
          <w:highlight w:val="none"/>
          <w:lang w:eastAsia="zh-CN"/>
        </w:rPr>
        <w:t>本文中公开的财政拨款“三公”经费相关数据是一般公共预算、政府性基金及国有资本经营预算财政拨款支出的相关经费，不含非财政拨款部分。</w:t>
      </w:r>
    </w:p>
    <w:p w14:paraId="3A32102D">
      <w:pPr>
        <w:pageBreakBefore w:val="0"/>
        <w:kinsoku/>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eastAsia="zh-CN"/>
        </w:rPr>
        <w:t>（四）本文所称财政拨款</w:t>
      </w:r>
      <w:r>
        <w:rPr>
          <w:rFonts w:hint="eastAsia" w:ascii="Times New Roman" w:hAnsi="Times New Roman" w:eastAsia="方正仿宋_GBK" w:cs="方正仿宋_GBK"/>
          <w:sz w:val="32"/>
          <w:szCs w:val="32"/>
          <w:highlight w:val="none"/>
        </w:rPr>
        <w:t>“三公”经费决算数</w:t>
      </w:r>
      <w:r>
        <w:rPr>
          <w:rFonts w:hint="eastAsia" w:ascii="Times New Roman" w:hAnsi="Times New Roman" w:eastAsia="方正仿宋_GBK" w:cs="方正仿宋_GBK"/>
          <w:sz w:val="32"/>
          <w:szCs w:val="32"/>
          <w:highlight w:val="none"/>
          <w:lang w:eastAsia="zh-CN"/>
        </w:rPr>
        <w:t>是</w:t>
      </w:r>
      <w:r>
        <w:rPr>
          <w:rFonts w:hint="eastAsia" w:ascii="Times New Roman" w:hAnsi="Times New Roman" w:eastAsia="方正仿宋_GBK" w:cs="方正仿宋_GBK"/>
          <w:sz w:val="32"/>
          <w:szCs w:val="32"/>
          <w:highlight w:val="none"/>
        </w:rPr>
        <w:t>指各部门（含下属单位）当年通过本级财政拨款和以前年度财政拨款结转结余资金安排的因公出国（境）费、公务用车购置及运行维护费和公务接待费支出数（包括基本支出和项目支出）。</w:t>
      </w:r>
    </w:p>
    <w:p w14:paraId="641F6090">
      <w:pPr>
        <w:pageBreakBefore w:val="0"/>
        <w:kinsoku/>
        <w:overflowPunct/>
        <w:topLinePunct w:val="0"/>
        <w:autoSpaceDE/>
        <w:autoSpaceDN/>
        <w:bidi w:val="0"/>
        <w:spacing w:line="590" w:lineRule="exact"/>
        <w:ind w:firstLine="640" w:firstLineChars="200"/>
        <w:jc w:val="both"/>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7C0598CB">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1、部门决算：各部门依据国家有关法律法规规定及其履行职能情况编制，反映部门所有预算收支和结余执行结果及绩效等情况的综合性年度报告，是改进部门预算执行以及编制后续年度部门算的参考和依据。</w:t>
      </w:r>
    </w:p>
    <w:p w14:paraId="2F4C1B5B">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一般公共预算收入：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14:paraId="255F94D4">
      <w:pPr>
        <w:pageBreakBefore w:val="0"/>
        <w:kinsoku/>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一般公共预算支出：一般公共预算支出是指通过一般公共预算收入统筹安排的支出。其功能分类范围主要包括：一般公共服务、公共安全、教育、科学技术、文化体育与传媒、社会保障和就业、医疗卫生、节能环保、城乡社区事务、农林水事务、交通运输商业服务业等事务、国土资源气象等事务、住房保障支出等。</w:t>
      </w:r>
    </w:p>
    <w:p w14:paraId="6CFB2C00">
      <w:pPr>
        <w:pageBreakBefore w:val="0"/>
        <w:kinsoku/>
        <w:overflowPunct/>
        <w:topLinePunct w:val="0"/>
        <w:autoSpaceDE/>
        <w:autoSpaceDN/>
        <w:bidi w:val="0"/>
        <w:spacing w:line="590" w:lineRule="exact"/>
        <w:textAlignment w:val="auto"/>
        <w:rPr>
          <w:rFonts w:ascii="Times New Roman" w:hAnsi="Times New Roman" w:eastAsia="Arial" w:cs="Arial"/>
          <w:b/>
          <w:sz w:val="36"/>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F102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0B929D2">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0B929D2">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D019F">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10F3DAB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1D32F">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singleLevel"/>
    <w:tmpl w:val="BF205925"/>
    <w:lvl w:ilvl="0" w:tentative="0">
      <w:start w:val="4"/>
      <w:numFmt w:val="chineseCounting"/>
      <w:suff w:val="nothing"/>
      <w:lvlText w:val="%1、"/>
      <w:lvlJc w:val="left"/>
      <w:rPr>
        <w:rFonts w:hint="eastAsia"/>
      </w:rPr>
    </w:lvl>
  </w:abstractNum>
  <w:abstractNum w:abstractNumId="1">
    <w:nsid w:val="59ADCABA"/>
    <w:multiLevelType w:val="singleLevel"/>
    <w:tmpl w:val="59ADCABA"/>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E6E75"/>
    <w:rsid w:val="001720E1"/>
    <w:rsid w:val="00BA31FC"/>
    <w:rsid w:val="014504E7"/>
    <w:rsid w:val="025517E0"/>
    <w:rsid w:val="025A704C"/>
    <w:rsid w:val="04647342"/>
    <w:rsid w:val="0474500D"/>
    <w:rsid w:val="04B80FCA"/>
    <w:rsid w:val="054A46BE"/>
    <w:rsid w:val="05BE218A"/>
    <w:rsid w:val="05C6691E"/>
    <w:rsid w:val="063C534B"/>
    <w:rsid w:val="06C32324"/>
    <w:rsid w:val="079B4D5F"/>
    <w:rsid w:val="07E76C04"/>
    <w:rsid w:val="07F67816"/>
    <w:rsid w:val="08477FE8"/>
    <w:rsid w:val="088D2C15"/>
    <w:rsid w:val="08B42AD4"/>
    <w:rsid w:val="08BB245F"/>
    <w:rsid w:val="08BE699E"/>
    <w:rsid w:val="09872502"/>
    <w:rsid w:val="09F01156"/>
    <w:rsid w:val="0A043DD4"/>
    <w:rsid w:val="0A600591"/>
    <w:rsid w:val="0A8D5BDD"/>
    <w:rsid w:val="0AB4001B"/>
    <w:rsid w:val="0B1A6AC6"/>
    <w:rsid w:val="0BB7042D"/>
    <w:rsid w:val="0BCD656A"/>
    <w:rsid w:val="0BE4618F"/>
    <w:rsid w:val="0C7C4062"/>
    <w:rsid w:val="0DD225D6"/>
    <w:rsid w:val="0DE549DB"/>
    <w:rsid w:val="0E377A2F"/>
    <w:rsid w:val="0EF13E19"/>
    <w:rsid w:val="0F643E6A"/>
    <w:rsid w:val="102538C7"/>
    <w:rsid w:val="10280686"/>
    <w:rsid w:val="106F49E8"/>
    <w:rsid w:val="10830B27"/>
    <w:rsid w:val="1087752D"/>
    <w:rsid w:val="10D572AC"/>
    <w:rsid w:val="1176055B"/>
    <w:rsid w:val="12192426"/>
    <w:rsid w:val="12F21BA5"/>
    <w:rsid w:val="133744CC"/>
    <w:rsid w:val="134A0C1C"/>
    <w:rsid w:val="135E3453"/>
    <w:rsid w:val="13972D7C"/>
    <w:rsid w:val="14085149"/>
    <w:rsid w:val="145D14E0"/>
    <w:rsid w:val="14A77E71"/>
    <w:rsid w:val="14B51D8E"/>
    <w:rsid w:val="14BD5261"/>
    <w:rsid w:val="14D20DB6"/>
    <w:rsid w:val="16DC68D0"/>
    <w:rsid w:val="16EA1D6E"/>
    <w:rsid w:val="170C0686"/>
    <w:rsid w:val="174D14CA"/>
    <w:rsid w:val="17672074"/>
    <w:rsid w:val="17703138"/>
    <w:rsid w:val="18794759"/>
    <w:rsid w:val="189B11CC"/>
    <w:rsid w:val="18B36492"/>
    <w:rsid w:val="199E386A"/>
    <w:rsid w:val="19A2611B"/>
    <w:rsid w:val="19C65056"/>
    <w:rsid w:val="1A8C739D"/>
    <w:rsid w:val="1B943177"/>
    <w:rsid w:val="1C6D1F76"/>
    <w:rsid w:val="1DBA0B1F"/>
    <w:rsid w:val="1E345B9A"/>
    <w:rsid w:val="1E737D0B"/>
    <w:rsid w:val="1E8160BE"/>
    <w:rsid w:val="1E9A0DC1"/>
    <w:rsid w:val="1F422183"/>
    <w:rsid w:val="1F607885"/>
    <w:rsid w:val="1F67559A"/>
    <w:rsid w:val="1FBE20C7"/>
    <w:rsid w:val="1FE70D61"/>
    <w:rsid w:val="20684BD2"/>
    <w:rsid w:val="20F644A4"/>
    <w:rsid w:val="21625D51"/>
    <w:rsid w:val="2191481C"/>
    <w:rsid w:val="21D90809"/>
    <w:rsid w:val="21EA1D42"/>
    <w:rsid w:val="224805CD"/>
    <w:rsid w:val="23066402"/>
    <w:rsid w:val="23394C56"/>
    <w:rsid w:val="2411343C"/>
    <w:rsid w:val="242F7E4B"/>
    <w:rsid w:val="24B77A5A"/>
    <w:rsid w:val="25585215"/>
    <w:rsid w:val="261E5813"/>
    <w:rsid w:val="2664357B"/>
    <w:rsid w:val="2783243E"/>
    <w:rsid w:val="27C70F4E"/>
    <w:rsid w:val="282D1124"/>
    <w:rsid w:val="283B6D0F"/>
    <w:rsid w:val="28AD095C"/>
    <w:rsid w:val="29CC3C22"/>
    <w:rsid w:val="2A061630"/>
    <w:rsid w:val="2A946438"/>
    <w:rsid w:val="2A947DE8"/>
    <w:rsid w:val="2AA170D3"/>
    <w:rsid w:val="2AC90642"/>
    <w:rsid w:val="2AE638B4"/>
    <w:rsid w:val="2B226752"/>
    <w:rsid w:val="2B7153EE"/>
    <w:rsid w:val="2B7661DC"/>
    <w:rsid w:val="2B922289"/>
    <w:rsid w:val="2B9D15CE"/>
    <w:rsid w:val="2BC413BB"/>
    <w:rsid w:val="2BC75FFB"/>
    <w:rsid w:val="2BD02AF9"/>
    <w:rsid w:val="2C3A3A61"/>
    <w:rsid w:val="2C7B2207"/>
    <w:rsid w:val="2C9917B7"/>
    <w:rsid w:val="2CC66E03"/>
    <w:rsid w:val="2CEA118C"/>
    <w:rsid w:val="2D1709DD"/>
    <w:rsid w:val="2DA11FE9"/>
    <w:rsid w:val="2DD110E5"/>
    <w:rsid w:val="2DFC012C"/>
    <w:rsid w:val="2E070A5D"/>
    <w:rsid w:val="2E607376"/>
    <w:rsid w:val="2E915175"/>
    <w:rsid w:val="2ED10E82"/>
    <w:rsid w:val="2F386C07"/>
    <w:rsid w:val="2F3E6592"/>
    <w:rsid w:val="2F79263A"/>
    <w:rsid w:val="2F9D65AC"/>
    <w:rsid w:val="304E5994"/>
    <w:rsid w:val="30874C00"/>
    <w:rsid w:val="30F91957"/>
    <w:rsid w:val="3109327F"/>
    <w:rsid w:val="315B19A0"/>
    <w:rsid w:val="323318B7"/>
    <w:rsid w:val="32A74071"/>
    <w:rsid w:val="32CF72EF"/>
    <w:rsid w:val="32D21971"/>
    <w:rsid w:val="339D6ABC"/>
    <w:rsid w:val="33A014CA"/>
    <w:rsid w:val="3439693A"/>
    <w:rsid w:val="344E0E5E"/>
    <w:rsid w:val="34F82673"/>
    <w:rsid w:val="355377A7"/>
    <w:rsid w:val="35C6441D"/>
    <w:rsid w:val="35F15C7E"/>
    <w:rsid w:val="36600A32"/>
    <w:rsid w:val="367D10F2"/>
    <w:rsid w:val="3696640E"/>
    <w:rsid w:val="37F222D9"/>
    <w:rsid w:val="381B2065"/>
    <w:rsid w:val="38623892"/>
    <w:rsid w:val="391F734F"/>
    <w:rsid w:val="397F3D71"/>
    <w:rsid w:val="39E71901"/>
    <w:rsid w:val="3AAE2DC4"/>
    <w:rsid w:val="3B3F1FA2"/>
    <w:rsid w:val="3B977B51"/>
    <w:rsid w:val="3BE05EF3"/>
    <w:rsid w:val="3C1650DF"/>
    <w:rsid w:val="3C1C7DAA"/>
    <w:rsid w:val="3C2B3A8C"/>
    <w:rsid w:val="3CE142E8"/>
    <w:rsid w:val="3D762284"/>
    <w:rsid w:val="3D957616"/>
    <w:rsid w:val="3DEB00CF"/>
    <w:rsid w:val="3E706080"/>
    <w:rsid w:val="3F0405D9"/>
    <w:rsid w:val="3FF85F5A"/>
    <w:rsid w:val="414548A4"/>
    <w:rsid w:val="414E4C2B"/>
    <w:rsid w:val="428C3781"/>
    <w:rsid w:val="42A012DD"/>
    <w:rsid w:val="42C5117B"/>
    <w:rsid w:val="430B346F"/>
    <w:rsid w:val="44291166"/>
    <w:rsid w:val="44447FB6"/>
    <w:rsid w:val="44877E79"/>
    <w:rsid w:val="44E1728E"/>
    <w:rsid w:val="450A0452"/>
    <w:rsid w:val="45375A9E"/>
    <w:rsid w:val="461B5D11"/>
    <w:rsid w:val="464716A0"/>
    <w:rsid w:val="46C655B1"/>
    <w:rsid w:val="46CE6E39"/>
    <w:rsid w:val="47E301A2"/>
    <w:rsid w:val="48135E4C"/>
    <w:rsid w:val="48B05D48"/>
    <w:rsid w:val="48BE62E5"/>
    <w:rsid w:val="499814CB"/>
    <w:rsid w:val="49F031DE"/>
    <w:rsid w:val="49FD6A0D"/>
    <w:rsid w:val="4AB526AF"/>
    <w:rsid w:val="4AD420A8"/>
    <w:rsid w:val="4B5A1437"/>
    <w:rsid w:val="4B5A70D1"/>
    <w:rsid w:val="4BAB34B4"/>
    <w:rsid w:val="4BC56A86"/>
    <w:rsid w:val="4BEA5146"/>
    <w:rsid w:val="4C60645B"/>
    <w:rsid w:val="4D154E1B"/>
    <w:rsid w:val="4D4E1266"/>
    <w:rsid w:val="4D644F78"/>
    <w:rsid w:val="4D897E6D"/>
    <w:rsid w:val="4DBC2D53"/>
    <w:rsid w:val="4DF67695"/>
    <w:rsid w:val="4E7F88F9"/>
    <w:rsid w:val="4EFF657E"/>
    <w:rsid w:val="505C278E"/>
    <w:rsid w:val="50A861C5"/>
    <w:rsid w:val="50B64B6E"/>
    <w:rsid w:val="50E720C7"/>
    <w:rsid w:val="512239F6"/>
    <w:rsid w:val="512963B4"/>
    <w:rsid w:val="519576F8"/>
    <w:rsid w:val="51C306A9"/>
    <w:rsid w:val="51DD29DF"/>
    <w:rsid w:val="52312B91"/>
    <w:rsid w:val="52497B10"/>
    <w:rsid w:val="524F1A19"/>
    <w:rsid w:val="530733C6"/>
    <w:rsid w:val="53393854"/>
    <w:rsid w:val="533D0D5E"/>
    <w:rsid w:val="538C0DC6"/>
    <w:rsid w:val="54055868"/>
    <w:rsid w:val="54213C52"/>
    <w:rsid w:val="547F3EAC"/>
    <w:rsid w:val="54EB4C35"/>
    <w:rsid w:val="55902DF0"/>
    <w:rsid w:val="55A3400F"/>
    <w:rsid w:val="560F58BD"/>
    <w:rsid w:val="561342C3"/>
    <w:rsid w:val="57F4005C"/>
    <w:rsid w:val="580F0885"/>
    <w:rsid w:val="58D10943"/>
    <w:rsid w:val="591D6844"/>
    <w:rsid w:val="59846BAD"/>
    <w:rsid w:val="59D42570"/>
    <w:rsid w:val="59E35308"/>
    <w:rsid w:val="5A86684A"/>
    <w:rsid w:val="5A927B79"/>
    <w:rsid w:val="5BF72584"/>
    <w:rsid w:val="5BFF5AC3"/>
    <w:rsid w:val="5D0750F7"/>
    <w:rsid w:val="5D503C5C"/>
    <w:rsid w:val="5D9B3D9F"/>
    <w:rsid w:val="5F0218F8"/>
    <w:rsid w:val="5F125F0A"/>
    <w:rsid w:val="5F27114E"/>
    <w:rsid w:val="5F491595"/>
    <w:rsid w:val="600619C6"/>
    <w:rsid w:val="60343BA5"/>
    <w:rsid w:val="60732927"/>
    <w:rsid w:val="60B707B9"/>
    <w:rsid w:val="60B93459"/>
    <w:rsid w:val="610F24CD"/>
    <w:rsid w:val="614576DB"/>
    <w:rsid w:val="619C7B32"/>
    <w:rsid w:val="61CE5D83"/>
    <w:rsid w:val="623F3C28"/>
    <w:rsid w:val="628074C4"/>
    <w:rsid w:val="6284647D"/>
    <w:rsid w:val="646E75D0"/>
    <w:rsid w:val="647D6C20"/>
    <w:rsid w:val="6505684A"/>
    <w:rsid w:val="65495C32"/>
    <w:rsid w:val="65B178B3"/>
    <w:rsid w:val="66237B57"/>
    <w:rsid w:val="66570776"/>
    <w:rsid w:val="681419D0"/>
    <w:rsid w:val="689B4D46"/>
    <w:rsid w:val="691702F9"/>
    <w:rsid w:val="69B144C0"/>
    <w:rsid w:val="6A224433"/>
    <w:rsid w:val="6A4C11DF"/>
    <w:rsid w:val="6AA33FDE"/>
    <w:rsid w:val="6AA71D09"/>
    <w:rsid w:val="6ADF4062"/>
    <w:rsid w:val="6AFE019A"/>
    <w:rsid w:val="6AFF79BB"/>
    <w:rsid w:val="6B464D0B"/>
    <w:rsid w:val="6B6F63E1"/>
    <w:rsid w:val="6BB42E93"/>
    <w:rsid w:val="6BC12456"/>
    <w:rsid w:val="6CBFD15C"/>
    <w:rsid w:val="6CFE1FF7"/>
    <w:rsid w:val="6D16022D"/>
    <w:rsid w:val="6D2677FD"/>
    <w:rsid w:val="6D457E58"/>
    <w:rsid w:val="6D556F0F"/>
    <w:rsid w:val="6D821C8F"/>
    <w:rsid w:val="6EA34A6F"/>
    <w:rsid w:val="6EF235B1"/>
    <w:rsid w:val="6F2F2BEC"/>
    <w:rsid w:val="6F6F1C62"/>
    <w:rsid w:val="6FD31987"/>
    <w:rsid w:val="6FE902A7"/>
    <w:rsid w:val="6FFF039C"/>
    <w:rsid w:val="709F4552"/>
    <w:rsid w:val="712C543B"/>
    <w:rsid w:val="71604761"/>
    <w:rsid w:val="728F7A44"/>
    <w:rsid w:val="739910A3"/>
    <w:rsid w:val="739A2CA3"/>
    <w:rsid w:val="739A7D73"/>
    <w:rsid w:val="750F6268"/>
    <w:rsid w:val="759F4605"/>
    <w:rsid w:val="75CA4550"/>
    <w:rsid w:val="75F245FA"/>
    <w:rsid w:val="76DB1E0E"/>
    <w:rsid w:val="774B10AC"/>
    <w:rsid w:val="77501DCD"/>
    <w:rsid w:val="77C3319D"/>
    <w:rsid w:val="77F415C5"/>
    <w:rsid w:val="78CD24D1"/>
    <w:rsid w:val="78CE33FC"/>
    <w:rsid w:val="7964530C"/>
    <w:rsid w:val="79A3351B"/>
    <w:rsid w:val="7A383810"/>
    <w:rsid w:val="7A877B5A"/>
    <w:rsid w:val="7AA575DA"/>
    <w:rsid w:val="7AB507DE"/>
    <w:rsid w:val="7B6931CC"/>
    <w:rsid w:val="7B8D2142"/>
    <w:rsid w:val="7BC73221"/>
    <w:rsid w:val="7BDC717B"/>
    <w:rsid w:val="7BE46596"/>
    <w:rsid w:val="7BF81A33"/>
    <w:rsid w:val="7C6B0496"/>
    <w:rsid w:val="7D8E6866"/>
    <w:rsid w:val="7E2A080C"/>
    <w:rsid w:val="7E52796B"/>
    <w:rsid w:val="7EFB10E8"/>
    <w:rsid w:val="7F7C1316"/>
    <w:rsid w:val="7FC5542C"/>
    <w:rsid w:val="7FFF8644"/>
    <w:rsid w:val="9D3FD1A2"/>
    <w:rsid w:val="B1EFED73"/>
    <w:rsid w:val="FB3524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spacing w:before="240" w:after="60"/>
      <w:jc w:val="left"/>
      <w:outlineLvl w:val="2"/>
    </w:pPr>
    <w:rPr>
      <w:rFonts w:ascii="宋体" w:hAnsi="宋体" w:eastAsia="宋体" w:cs="宋体"/>
      <w:b/>
      <w:bCs/>
      <w:sz w:val="27"/>
      <w:szCs w:val="27"/>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2052-11.8.2.9022</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e977cc-4b91-49b6-b1df-0206caeaa677}">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6570</Words>
  <Characters>7529</Characters>
  <Lines>0</Lines>
  <Paragraphs>0</Paragraphs>
  <TotalTime>8</TotalTime>
  <ScaleCrop>false</ScaleCrop>
  <LinksUpToDate>false</LinksUpToDate>
  <CharactersWithSpaces>7553</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2025-06-27T17:23:00Z</dcterms:created>
  <dc:creator>jq</dc:creator>
  <cp:lastModifiedBy>kylin</cp:lastModifiedBy>
  <dcterms:modified xsi:type="dcterms:W3CDTF">2026-10-13T09:32:22Z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0F8A1DD05C2B447F268ACD6AAF4AC837_43</vt:lpwstr>
  </property>
  <property fmtid="{D5CDD505-2E9C-101B-9397-08002B2CF9AE}" pid="3" name="KSOProductBuildVer">
    <vt:lpwstr>2052-12.1.2.28080</vt:lpwstr>
  </property>
  <property fmtid="{D5CDD505-2E9C-101B-9397-08002B2CF9AE}" pid="4" name="KSOTemplateDocerSaveRecord">
    <vt:lpwstr>eyJoZGlkIjoiOTg2ZWRkZDVmM2ViYTNjZjIzYzljM2M0MzllZGNlYjgiLCJ1c2VySWQiOiI1MDk3NDk3NzUifQ==</vt:lpwstr>
  </property>
</Properties>
</file>