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3F59CE">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Times New Roman" w:hAnsi="Times New Roman" w:eastAsia="方正小标宋简体"/>
          <w:color w:val="000000" w:themeColor="text1"/>
          <w:sz w:val="36"/>
          <w:lang w:val="zh-CN"/>
          <w14:textFill>
            <w14:solidFill>
              <w14:schemeClr w14:val="tx1"/>
            </w14:solidFill>
          </w14:textFill>
        </w:rPr>
      </w:pPr>
      <w:r>
        <w:rPr>
          <w:rFonts w:hint="eastAsia" w:ascii="Times New Roman" w:hAnsi="Times New Roman" w:eastAsia="方正小标宋简体"/>
          <w:color w:val="000000" w:themeColor="text1"/>
          <w:sz w:val="36"/>
          <w:lang w:val="zh-CN"/>
          <w14:textFill>
            <w14:solidFill>
              <w14:schemeClr w14:val="tx1"/>
            </w14:solidFill>
          </w14:textFill>
        </w:rPr>
        <w:t>中国共产党华宁县委员会党史研究室</w:t>
      </w:r>
    </w:p>
    <w:p w14:paraId="26176D8F">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Times New Roman" w:hAnsi="Times New Roman" w:eastAsia="方正小标宋简体"/>
          <w:color w:val="000000" w:themeColor="text1"/>
          <w:sz w:val="36"/>
          <w:lang w:val="zh-CN"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36"/>
          <w:lang w:val="en-US" w:eastAsia="zh-CN"/>
          <w14:textFill>
            <w14:solidFill>
              <w14:schemeClr w14:val="tx1"/>
            </w14:solidFill>
          </w14:textFill>
        </w:rPr>
        <w:t>2025</w:t>
      </w:r>
      <w:r>
        <w:rPr>
          <w:rFonts w:hint="eastAsia" w:ascii="Times New Roman" w:hAnsi="Times New Roman" w:eastAsia="方正小标宋简体"/>
          <w:color w:val="000000" w:themeColor="text1"/>
          <w:sz w:val="36"/>
          <w:lang w:val="en-US" w:eastAsia="zh-CN"/>
          <w14:textFill>
            <w14:solidFill>
              <w14:schemeClr w14:val="tx1"/>
            </w14:solidFill>
          </w14:textFill>
        </w:rPr>
        <w:t>年度</w:t>
      </w:r>
      <w:r>
        <w:rPr>
          <w:rFonts w:hint="eastAsia" w:ascii="Times New Roman" w:hAnsi="Times New Roman" w:eastAsia="方正小标宋简体"/>
          <w:color w:val="000000" w:themeColor="text1"/>
          <w:sz w:val="36"/>
          <w:lang w:val="zh-CN"/>
          <w14:textFill>
            <w14:solidFill>
              <w14:schemeClr w14:val="tx1"/>
            </w14:solidFill>
          </w14:textFill>
        </w:rPr>
        <w:t>部门决算</w:t>
      </w:r>
      <w:r>
        <w:rPr>
          <w:rFonts w:hint="eastAsia" w:ascii="Times New Roman" w:hAnsi="Times New Roman" w:eastAsia="方正小标宋简体"/>
          <w:color w:val="000000" w:themeColor="text1"/>
          <w:sz w:val="36"/>
          <w:lang w:val="zh-CN" w:eastAsia="zh-CN"/>
          <w14:textFill>
            <w14:solidFill>
              <w14:schemeClr w14:val="tx1"/>
            </w14:solidFill>
          </w14:textFill>
        </w:rPr>
        <w:t>目录</w:t>
      </w:r>
    </w:p>
    <w:p w14:paraId="09D7D6B9">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Times New Roman" w:hAnsi="Times New Roman" w:eastAsia="方正小标宋简体"/>
          <w:color w:val="000000" w:themeColor="text1"/>
          <w:sz w:val="36"/>
          <w:lang w:val="zh-CN"/>
          <w14:textFill>
            <w14:solidFill>
              <w14:schemeClr w14:val="tx1"/>
            </w14:solidFill>
          </w14:textFill>
        </w:rPr>
      </w:pPr>
    </w:p>
    <w:p w14:paraId="5B3B18CB">
      <w:pPr>
        <w:keepNext w:val="0"/>
        <w:keepLines w:val="0"/>
        <w:pageBreakBefore w:val="0"/>
        <w:kinsoku/>
        <w:overflowPunct/>
        <w:topLinePunct w:val="0"/>
        <w:autoSpaceDE/>
        <w:autoSpaceDN/>
        <w:bidi w:val="0"/>
        <w:adjustRightInd/>
        <w:spacing w:line="590" w:lineRule="exact"/>
        <w:jc w:val="left"/>
        <w:textAlignment w:val="auto"/>
        <w:outlineLvl w:val="0"/>
        <w:rPr>
          <w:rFonts w:hint="eastAsia" w:ascii="Times New Roman" w:hAnsi="Times New Roman" w:eastAsia="黑体"/>
          <w:color w:val="000000" w:themeColor="text1"/>
          <w:sz w:val="30"/>
          <w:szCs w:val="30"/>
          <w:highlight w:val="none"/>
          <w14:textFill>
            <w14:solidFill>
              <w14:schemeClr w14:val="tx1"/>
            </w14:solidFill>
          </w14:textFill>
        </w:rPr>
      </w:pPr>
      <w:r>
        <w:rPr>
          <w:rFonts w:hint="eastAsia" w:ascii="Times New Roman" w:hAnsi="Times New Roman" w:eastAsia="方正黑体_GBK" w:cs="方正黑体_GBK"/>
          <w:color w:val="000000" w:themeColor="text1"/>
          <w:sz w:val="30"/>
          <w:szCs w:val="30"/>
          <w:highlight w:val="none"/>
          <w14:textFill>
            <w14:solidFill>
              <w14:schemeClr w14:val="tx1"/>
            </w14:solidFill>
          </w14:textFill>
        </w:rPr>
        <w:t xml:space="preserve">第一部分  </w:t>
      </w:r>
      <w:r>
        <w:rPr>
          <w:rFonts w:hint="eastAsia" w:ascii="Times New Roman" w:hAnsi="Times New Roman" w:eastAsia="方正黑体_GBK" w:cs="方正黑体_GBK"/>
          <w:color w:val="000000" w:themeColor="text1"/>
          <w:sz w:val="30"/>
          <w:szCs w:val="30"/>
          <w:highlight w:val="none"/>
          <w:lang w:eastAsia="zh-CN"/>
          <w14:textFill>
            <w14:solidFill>
              <w14:schemeClr w14:val="tx1"/>
            </w14:solidFill>
          </w14:textFill>
        </w:rPr>
        <w:t>部门</w:t>
      </w:r>
      <w:r>
        <w:rPr>
          <w:rFonts w:hint="eastAsia" w:ascii="Times New Roman" w:hAnsi="Times New Roman" w:eastAsia="方正黑体_GBK" w:cs="方正黑体_GBK"/>
          <w:color w:val="000000" w:themeColor="text1"/>
          <w:sz w:val="30"/>
          <w:szCs w:val="30"/>
          <w:highlight w:val="none"/>
          <w14:textFill>
            <w14:solidFill>
              <w14:schemeClr w14:val="tx1"/>
            </w14:solidFill>
          </w14:textFill>
        </w:rPr>
        <w:t>概况</w:t>
      </w:r>
    </w:p>
    <w:p w14:paraId="0060A7D7">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color w:val="000000" w:themeColor="text1"/>
          <w:sz w:val="30"/>
          <w:szCs w:val="30"/>
          <w:highlight w:val="none"/>
          <w:lang w:eastAsia="zh-CN"/>
          <w14:textFill>
            <w14:solidFill>
              <w14:schemeClr w14:val="tx1"/>
            </w14:solidFill>
          </w14:textFill>
        </w:rPr>
      </w:pPr>
      <w:r>
        <w:rPr>
          <w:rFonts w:hint="eastAsia" w:ascii="Times New Roman" w:hAnsi="Times New Roman" w:eastAsia="楷体"/>
          <w:color w:val="000000" w:themeColor="text1"/>
          <w:sz w:val="30"/>
          <w:szCs w:val="30"/>
          <w:highlight w:val="none"/>
          <w14:textFill>
            <w14:solidFill>
              <w14:schemeClr w14:val="tx1"/>
            </w14:solidFill>
          </w14:textFill>
        </w:rPr>
        <w:t>一、主要职</w:t>
      </w:r>
      <w:r>
        <w:rPr>
          <w:rFonts w:hint="eastAsia" w:ascii="Times New Roman" w:hAnsi="Times New Roman" w:eastAsia="楷体"/>
          <w:color w:val="000000" w:themeColor="text1"/>
          <w:sz w:val="30"/>
          <w:szCs w:val="30"/>
          <w:highlight w:val="none"/>
          <w:lang w:eastAsia="zh-CN"/>
          <w14:textFill>
            <w14:solidFill>
              <w14:schemeClr w14:val="tx1"/>
            </w14:solidFill>
          </w14:textFill>
        </w:rPr>
        <w:t>责</w:t>
      </w:r>
    </w:p>
    <w:p w14:paraId="6CE9DD6B">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color w:val="000000" w:themeColor="text1"/>
          <w:sz w:val="30"/>
          <w:szCs w:val="30"/>
          <w:highlight w:val="none"/>
          <w:lang w:eastAsia="zh-CN"/>
          <w14:textFill>
            <w14:solidFill>
              <w14:schemeClr w14:val="tx1"/>
            </w14:solidFill>
          </w14:textFill>
        </w:rPr>
      </w:pPr>
      <w:r>
        <w:rPr>
          <w:rFonts w:hint="eastAsia" w:ascii="Times New Roman" w:hAnsi="Times New Roman" w:eastAsia="楷体"/>
          <w:color w:val="000000" w:themeColor="text1"/>
          <w:sz w:val="30"/>
          <w:szCs w:val="30"/>
          <w:highlight w:val="none"/>
          <w14:textFill>
            <w14:solidFill>
              <w14:schemeClr w14:val="tx1"/>
            </w14:solidFill>
          </w14:textFill>
        </w:rPr>
        <w:t>二、</w:t>
      </w:r>
      <w:r>
        <w:rPr>
          <w:rFonts w:hint="eastAsia" w:ascii="Times New Roman" w:hAnsi="Times New Roman" w:eastAsia="楷体"/>
          <w:color w:val="000000" w:themeColor="text1"/>
          <w:sz w:val="30"/>
          <w:szCs w:val="30"/>
          <w:highlight w:val="none"/>
          <w:lang w:eastAsia="zh-CN"/>
          <w14:textFill>
            <w14:solidFill>
              <w14:schemeClr w14:val="tx1"/>
            </w14:solidFill>
          </w14:textFill>
        </w:rPr>
        <w:t>基本情况</w:t>
      </w:r>
    </w:p>
    <w:p w14:paraId="1FF68186">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color w:val="000000" w:themeColor="text1"/>
          <w:sz w:val="30"/>
          <w:szCs w:val="30"/>
          <w:highlight w:val="none"/>
          <w:lang w:eastAsia="zh-CN"/>
          <w14:textFill>
            <w14:solidFill>
              <w14:schemeClr w14:val="tx1"/>
            </w14:solidFill>
          </w14:textFill>
        </w:rPr>
      </w:pPr>
      <w:r>
        <w:rPr>
          <w:rFonts w:hint="eastAsia" w:ascii="Times New Roman" w:hAnsi="Times New Roman" w:eastAsia="楷体"/>
          <w:color w:val="000000" w:themeColor="text1"/>
          <w:sz w:val="30"/>
          <w:szCs w:val="30"/>
          <w:highlight w:val="none"/>
          <w:lang w:eastAsia="zh-CN"/>
          <w14:textFill>
            <w14:solidFill>
              <w14:schemeClr w14:val="tx1"/>
            </w14:solidFill>
          </w14:textFill>
        </w:rPr>
        <w:t>三、重点工作概述</w:t>
      </w:r>
    </w:p>
    <w:p w14:paraId="00318903">
      <w:pPr>
        <w:keepNext w:val="0"/>
        <w:keepLines w:val="0"/>
        <w:pageBreakBefore w:val="0"/>
        <w:kinsoku/>
        <w:overflowPunct/>
        <w:topLinePunct w:val="0"/>
        <w:autoSpaceDE/>
        <w:autoSpaceDN/>
        <w:bidi w:val="0"/>
        <w:adjustRightInd/>
        <w:spacing w:line="590" w:lineRule="exact"/>
        <w:jc w:val="left"/>
        <w:textAlignment w:val="auto"/>
        <w:outlineLvl w:val="0"/>
        <w:rPr>
          <w:rFonts w:hint="eastAsia" w:ascii="Times New Roman" w:hAnsi="Times New Roman" w:eastAsia="黑体"/>
          <w:color w:val="000000" w:themeColor="text1"/>
          <w:sz w:val="30"/>
          <w:szCs w:val="30"/>
          <w:highlight w:val="none"/>
          <w14:textFill>
            <w14:solidFill>
              <w14:schemeClr w14:val="tx1"/>
            </w14:solidFill>
          </w14:textFill>
        </w:rPr>
      </w:pPr>
      <w:r>
        <w:rPr>
          <w:rFonts w:hint="eastAsia" w:ascii="Times New Roman" w:hAnsi="Times New Roman" w:eastAsia="方正黑体_GBK" w:cs="方正黑体_GBK"/>
          <w:color w:val="000000" w:themeColor="text1"/>
          <w:sz w:val="30"/>
          <w:szCs w:val="30"/>
          <w:highlight w:val="none"/>
          <w14:textFill>
            <w14:solidFill>
              <w14:schemeClr w14:val="tx1"/>
            </w14:solidFill>
          </w14:textFill>
        </w:rPr>
        <w:t xml:space="preserve">第二部分  </w:t>
      </w:r>
      <w:r>
        <w:rPr>
          <w:rFonts w:hint="eastAsia" w:ascii="Times New Roman" w:hAnsi="Times New Roman" w:eastAsia="方正黑体_GBK" w:cs="方正黑体_GBK"/>
          <w:color w:val="000000" w:themeColor="text1"/>
          <w:sz w:val="30"/>
          <w:szCs w:val="30"/>
          <w:highlight w:val="none"/>
          <w:lang w:val="en-US" w:eastAsia="zh-CN"/>
          <w14:textFill>
            <w14:solidFill>
              <w14:schemeClr w14:val="tx1"/>
            </w14:solidFill>
          </w14:textFill>
        </w:rPr>
        <w:t>2025年度</w:t>
      </w:r>
      <w:r>
        <w:rPr>
          <w:rFonts w:hint="eastAsia" w:ascii="Times New Roman" w:hAnsi="Times New Roman" w:eastAsia="方正黑体_GBK" w:cs="方正黑体_GBK"/>
          <w:color w:val="000000" w:themeColor="text1"/>
          <w:sz w:val="30"/>
          <w:szCs w:val="30"/>
          <w:highlight w:val="none"/>
          <w14:textFill>
            <w14:solidFill>
              <w14:schemeClr w14:val="tx1"/>
            </w14:solidFill>
          </w14:textFill>
        </w:rPr>
        <w:t>部门决算表</w:t>
      </w:r>
    </w:p>
    <w:p w14:paraId="26EF63DE">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color w:val="000000" w:themeColor="text1"/>
          <w:sz w:val="30"/>
          <w:szCs w:val="30"/>
          <w:highlight w:val="none"/>
          <w14:textFill>
            <w14:solidFill>
              <w14:schemeClr w14:val="tx1"/>
            </w14:solidFill>
          </w14:textFill>
        </w:rPr>
      </w:pPr>
      <w:r>
        <w:rPr>
          <w:rFonts w:hint="eastAsia" w:ascii="Times New Roman" w:hAnsi="Times New Roman" w:eastAsia="楷体"/>
          <w:color w:val="000000" w:themeColor="text1"/>
          <w:sz w:val="30"/>
          <w:szCs w:val="30"/>
          <w:highlight w:val="none"/>
          <w14:textFill>
            <w14:solidFill>
              <w14:schemeClr w14:val="tx1"/>
            </w14:solidFill>
          </w14:textFill>
        </w:rPr>
        <w:t>一、收入支出决算表</w:t>
      </w:r>
    </w:p>
    <w:p w14:paraId="56F9BB9C">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color w:val="000000" w:themeColor="text1"/>
          <w:sz w:val="30"/>
          <w:szCs w:val="30"/>
          <w:highlight w:val="none"/>
          <w14:textFill>
            <w14:solidFill>
              <w14:schemeClr w14:val="tx1"/>
            </w14:solidFill>
          </w14:textFill>
        </w:rPr>
      </w:pPr>
      <w:r>
        <w:rPr>
          <w:rFonts w:hint="eastAsia" w:ascii="Times New Roman" w:hAnsi="Times New Roman" w:eastAsia="楷体"/>
          <w:color w:val="000000" w:themeColor="text1"/>
          <w:sz w:val="30"/>
          <w:szCs w:val="30"/>
          <w:highlight w:val="none"/>
          <w14:textFill>
            <w14:solidFill>
              <w14:schemeClr w14:val="tx1"/>
            </w14:solidFill>
          </w14:textFill>
        </w:rPr>
        <w:t>二、收入决算表</w:t>
      </w:r>
    </w:p>
    <w:p w14:paraId="152E6C09">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color w:val="000000" w:themeColor="text1"/>
          <w:sz w:val="30"/>
          <w:szCs w:val="30"/>
          <w:highlight w:val="none"/>
          <w14:textFill>
            <w14:solidFill>
              <w14:schemeClr w14:val="tx1"/>
            </w14:solidFill>
          </w14:textFill>
        </w:rPr>
      </w:pPr>
      <w:r>
        <w:rPr>
          <w:rFonts w:hint="eastAsia" w:ascii="Times New Roman" w:hAnsi="Times New Roman" w:eastAsia="楷体"/>
          <w:color w:val="000000" w:themeColor="text1"/>
          <w:sz w:val="30"/>
          <w:szCs w:val="30"/>
          <w:highlight w:val="none"/>
          <w14:textFill>
            <w14:solidFill>
              <w14:schemeClr w14:val="tx1"/>
            </w14:solidFill>
          </w14:textFill>
        </w:rPr>
        <w:t>三、支出决算表</w:t>
      </w:r>
    </w:p>
    <w:p w14:paraId="61532A81">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color w:val="000000" w:themeColor="text1"/>
          <w:sz w:val="30"/>
          <w:szCs w:val="30"/>
          <w:highlight w:val="none"/>
          <w14:textFill>
            <w14:solidFill>
              <w14:schemeClr w14:val="tx1"/>
            </w14:solidFill>
          </w14:textFill>
        </w:rPr>
      </w:pPr>
      <w:r>
        <w:rPr>
          <w:rFonts w:hint="eastAsia" w:ascii="Times New Roman" w:hAnsi="Times New Roman" w:eastAsia="楷体"/>
          <w:color w:val="000000" w:themeColor="text1"/>
          <w:sz w:val="30"/>
          <w:szCs w:val="30"/>
          <w:highlight w:val="none"/>
          <w14:textFill>
            <w14:solidFill>
              <w14:schemeClr w14:val="tx1"/>
            </w14:solidFill>
          </w14:textFill>
        </w:rPr>
        <w:t>四、财政拨款收入支出决算表</w:t>
      </w:r>
    </w:p>
    <w:p w14:paraId="75A73796">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color w:val="000000" w:themeColor="text1"/>
          <w:sz w:val="30"/>
          <w:szCs w:val="30"/>
          <w:highlight w:val="none"/>
          <w14:textFill>
            <w14:solidFill>
              <w14:schemeClr w14:val="tx1"/>
            </w14:solidFill>
          </w14:textFill>
        </w:rPr>
      </w:pPr>
      <w:r>
        <w:rPr>
          <w:rFonts w:hint="eastAsia" w:ascii="Times New Roman" w:hAnsi="Times New Roman" w:eastAsia="楷体"/>
          <w:color w:val="000000" w:themeColor="text1"/>
          <w:sz w:val="30"/>
          <w:szCs w:val="30"/>
          <w:highlight w:val="none"/>
          <w14:textFill>
            <w14:solidFill>
              <w14:schemeClr w14:val="tx1"/>
            </w14:solidFill>
          </w14:textFill>
        </w:rPr>
        <w:t>五、一般公共预算财政拨款收入支出决算表</w:t>
      </w:r>
    </w:p>
    <w:p w14:paraId="72A4B2BB">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color w:val="000000" w:themeColor="text1"/>
          <w:sz w:val="30"/>
          <w:szCs w:val="30"/>
          <w:highlight w:val="none"/>
          <w14:textFill>
            <w14:solidFill>
              <w14:schemeClr w14:val="tx1"/>
            </w14:solidFill>
          </w14:textFill>
        </w:rPr>
      </w:pPr>
      <w:r>
        <w:rPr>
          <w:rFonts w:hint="eastAsia" w:ascii="Times New Roman" w:hAnsi="Times New Roman" w:eastAsia="楷体"/>
          <w:color w:val="000000" w:themeColor="text1"/>
          <w:sz w:val="30"/>
          <w:szCs w:val="30"/>
          <w:highlight w:val="none"/>
          <w14:textFill>
            <w14:solidFill>
              <w14:schemeClr w14:val="tx1"/>
            </w14:solidFill>
          </w14:textFill>
        </w:rPr>
        <w:t>六、一般公共预算财政拨款基本支出决算表</w:t>
      </w:r>
    </w:p>
    <w:p w14:paraId="387D7A31">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color w:val="000000" w:themeColor="text1"/>
          <w:sz w:val="30"/>
          <w:szCs w:val="30"/>
          <w:highlight w:val="none"/>
          <w:lang w:eastAsia="zh-CN"/>
          <w14:textFill>
            <w14:solidFill>
              <w14:schemeClr w14:val="tx1"/>
            </w14:solidFill>
          </w14:textFill>
        </w:rPr>
      </w:pPr>
      <w:r>
        <w:rPr>
          <w:rFonts w:hint="eastAsia" w:ascii="Times New Roman" w:hAnsi="Times New Roman" w:eastAsia="楷体"/>
          <w:color w:val="000000" w:themeColor="text1"/>
          <w:sz w:val="30"/>
          <w:szCs w:val="30"/>
          <w:highlight w:val="none"/>
          <w14:textFill>
            <w14:solidFill>
              <w14:schemeClr w14:val="tx1"/>
            </w14:solidFill>
          </w14:textFill>
        </w:rPr>
        <w:t>七、</w:t>
      </w:r>
      <w:r>
        <w:rPr>
          <w:rFonts w:hint="eastAsia" w:ascii="Times New Roman" w:hAnsi="Times New Roman" w:eastAsia="楷体"/>
          <w:color w:val="000000" w:themeColor="text1"/>
          <w:sz w:val="30"/>
          <w:szCs w:val="30"/>
          <w:highlight w:val="none"/>
          <w:lang w:eastAsia="zh-CN"/>
          <w14:textFill>
            <w14:solidFill>
              <w14:schemeClr w14:val="tx1"/>
            </w14:solidFill>
          </w14:textFill>
        </w:rPr>
        <w:t>一般公共预算财政拨款项目支出决算表</w:t>
      </w:r>
    </w:p>
    <w:p w14:paraId="136C2F16">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color w:val="000000" w:themeColor="text1"/>
          <w:sz w:val="30"/>
          <w:szCs w:val="30"/>
          <w:highlight w:val="none"/>
          <w14:textFill>
            <w14:solidFill>
              <w14:schemeClr w14:val="tx1"/>
            </w14:solidFill>
          </w14:textFill>
        </w:rPr>
      </w:pPr>
      <w:r>
        <w:rPr>
          <w:rFonts w:hint="eastAsia" w:ascii="Times New Roman" w:hAnsi="Times New Roman" w:eastAsia="楷体"/>
          <w:color w:val="000000" w:themeColor="text1"/>
          <w:sz w:val="30"/>
          <w:szCs w:val="30"/>
          <w:highlight w:val="none"/>
          <w:lang w:eastAsia="zh-CN"/>
          <w14:textFill>
            <w14:solidFill>
              <w14:schemeClr w14:val="tx1"/>
            </w14:solidFill>
          </w14:textFill>
        </w:rPr>
        <w:t>八</w:t>
      </w:r>
      <w:r>
        <w:rPr>
          <w:rFonts w:hint="eastAsia" w:ascii="Times New Roman" w:hAnsi="Times New Roman" w:eastAsia="楷体"/>
          <w:color w:val="000000" w:themeColor="text1"/>
          <w:sz w:val="30"/>
          <w:szCs w:val="30"/>
          <w:highlight w:val="none"/>
          <w14:textFill>
            <w14:solidFill>
              <w14:schemeClr w14:val="tx1"/>
            </w14:solidFill>
          </w14:textFill>
        </w:rPr>
        <w:t>、政府性基金预算财政拨款收入支出决算表</w:t>
      </w:r>
    </w:p>
    <w:p w14:paraId="154FD014">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color w:val="000000" w:themeColor="text1"/>
          <w:sz w:val="30"/>
          <w:szCs w:val="30"/>
          <w:highlight w:val="none"/>
          <w:lang w:val="en-US" w:eastAsia="zh-CN"/>
          <w14:textFill>
            <w14:solidFill>
              <w14:schemeClr w14:val="tx1"/>
            </w14:solidFill>
          </w14:textFill>
        </w:rPr>
      </w:pPr>
      <w:r>
        <w:rPr>
          <w:rFonts w:hint="eastAsia" w:ascii="Times New Roman" w:hAnsi="Times New Roman" w:eastAsia="楷体"/>
          <w:color w:val="000000" w:themeColor="text1"/>
          <w:sz w:val="30"/>
          <w:szCs w:val="30"/>
          <w:highlight w:val="none"/>
          <w:lang w:val="en-US" w:eastAsia="zh-CN"/>
          <w14:textFill>
            <w14:solidFill>
              <w14:schemeClr w14:val="tx1"/>
            </w14:solidFill>
          </w14:textFill>
        </w:rPr>
        <w:t>九、国有资本经营预算财政拨款收入支出决算表</w:t>
      </w:r>
    </w:p>
    <w:p w14:paraId="2F5F702D">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color w:val="000000" w:themeColor="text1"/>
          <w:sz w:val="30"/>
          <w:szCs w:val="30"/>
          <w:highlight w:val="none"/>
          <w14:textFill>
            <w14:solidFill>
              <w14:schemeClr w14:val="tx1"/>
            </w14:solidFill>
          </w14:textFill>
        </w:rPr>
      </w:pPr>
      <w:r>
        <w:rPr>
          <w:rFonts w:hint="eastAsia" w:ascii="Times New Roman" w:hAnsi="Times New Roman" w:eastAsia="楷体"/>
          <w:color w:val="000000" w:themeColor="text1"/>
          <w:sz w:val="30"/>
          <w:szCs w:val="30"/>
          <w:highlight w:val="none"/>
          <w:lang w:eastAsia="zh-CN"/>
          <w14:textFill>
            <w14:solidFill>
              <w14:schemeClr w14:val="tx1"/>
            </w14:solidFill>
          </w14:textFill>
        </w:rPr>
        <w:t>十</w:t>
      </w:r>
      <w:r>
        <w:rPr>
          <w:rFonts w:hint="eastAsia" w:ascii="Times New Roman" w:hAnsi="Times New Roman" w:eastAsia="楷体"/>
          <w:color w:val="000000" w:themeColor="text1"/>
          <w:sz w:val="30"/>
          <w:szCs w:val="30"/>
          <w:highlight w:val="none"/>
          <w14:textFill>
            <w14:solidFill>
              <w14:schemeClr w14:val="tx1"/>
            </w14:solidFill>
          </w14:textFill>
        </w:rPr>
        <w:t>、</w:t>
      </w:r>
      <w:r>
        <w:rPr>
          <w:rFonts w:hint="eastAsia" w:ascii="Times New Roman" w:hAnsi="Times New Roman" w:eastAsia="楷体"/>
          <w:color w:val="000000" w:themeColor="text1"/>
          <w:sz w:val="30"/>
          <w:szCs w:val="30"/>
          <w:highlight w:val="none"/>
          <w:lang w:eastAsia="zh-CN"/>
          <w14:textFill>
            <w14:solidFill>
              <w14:schemeClr w14:val="tx1"/>
            </w14:solidFill>
          </w14:textFill>
        </w:rPr>
        <w:t>财政拨款</w:t>
      </w:r>
      <w:r>
        <w:rPr>
          <w:rFonts w:hint="eastAsia" w:ascii="Times New Roman" w:hAnsi="Times New Roman" w:eastAsia="楷体"/>
          <w:color w:val="000000" w:themeColor="text1"/>
          <w:sz w:val="30"/>
          <w:szCs w:val="30"/>
          <w:highlight w:val="none"/>
          <w14:textFill>
            <w14:solidFill>
              <w14:schemeClr w14:val="tx1"/>
            </w14:solidFill>
          </w14:textFill>
        </w:rPr>
        <w:t>“三公”经费、行政参公单位机关运行经费情况表</w:t>
      </w:r>
    </w:p>
    <w:p w14:paraId="0DF4F8E6">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color w:val="000000" w:themeColor="text1"/>
          <w:sz w:val="30"/>
          <w:szCs w:val="30"/>
          <w:highlight w:val="none"/>
          <w14:textFill>
            <w14:solidFill>
              <w14:schemeClr w14:val="tx1"/>
            </w14:solidFill>
          </w14:textFill>
        </w:rPr>
      </w:pPr>
      <w:r>
        <w:rPr>
          <w:rFonts w:hint="eastAsia" w:ascii="Times New Roman" w:hAnsi="Times New Roman" w:eastAsia="楷体"/>
          <w:color w:val="000000" w:themeColor="text1"/>
          <w:sz w:val="30"/>
          <w:szCs w:val="30"/>
          <w:highlight w:val="none"/>
          <w:lang w:val="en-US" w:eastAsia="zh-CN"/>
          <w14:textFill>
            <w14:solidFill>
              <w14:schemeClr w14:val="tx1"/>
            </w14:solidFill>
          </w14:textFill>
        </w:rPr>
        <w:t>十一、一般公共预算财政拨款“三公”经费情况表</w:t>
      </w:r>
    </w:p>
    <w:p w14:paraId="32932F0E">
      <w:pPr>
        <w:keepNext w:val="0"/>
        <w:keepLines w:val="0"/>
        <w:pageBreakBefore w:val="0"/>
        <w:kinsoku/>
        <w:overflowPunct/>
        <w:topLinePunct w:val="0"/>
        <w:autoSpaceDE/>
        <w:autoSpaceDN/>
        <w:bidi w:val="0"/>
        <w:adjustRightInd/>
        <w:spacing w:line="590" w:lineRule="exact"/>
        <w:jc w:val="left"/>
        <w:textAlignment w:val="auto"/>
        <w:outlineLvl w:val="0"/>
        <w:rPr>
          <w:rFonts w:hint="eastAsia" w:ascii="Times New Roman" w:hAnsi="Times New Roman" w:eastAsia="方正黑体_GBK" w:cs="方正黑体_GBK"/>
          <w:color w:val="000000" w:themeColor="text1"/>
          <w:sz w:val="30"/>
          <w:szCs w:val="30"/>
          <w:highlight w:val="none"/>
          <w14:textFill>
            <w14:solidFill>
              <w14:schemeClr w14:val="tx1"/>
            </w14:solidFill>
          </w14:textFill>
        </w:rPr>
      </w:pPr>
      <w:r>
        <w:rPr>
          <w:rFonts w:hint="eastAsia" w:ascii="Times New Roman" w:hAnsi="Times New Roman" w:eastAsia="方正黑体_GBK" w:cs="方正黑体_GBK"/>
          <w:color w:val="000000" w:themeColor="text1"/>
          <w:sz w:val="30"/>
          <w:szCs w:val="30"/>
          <w:highlight w:val="none"/>
          <w14:textFill>
            <w14:solidFill>
              <w14:schemeClr w14:val="tx1"/>
            </w14:solidFill>
          </w14:textFill>
        </w:rPr>
        <w:t>第三部</w:t>
      </w:r>
      <w:r>
        <w:rPr>
          <w:rFonts w:hint="eastAsia" w:ascii="Times New Roman" w:hAnsi="Times New Roman" w:eastAsia="方正黑体_GBK" w:cs="方正黑体_GBK"/>
          <w:color w:val="000000" w:themeColor="text1"/>
          <w:sz w:val="30"/>
          <w:szCs w:val="30"/>
          <w:highlight w:val="none"/>
          <w:lang w:eastAsia="zh-CN"/>
          <w14:textFill>
            <w14:solidFill>
              <w14:schemeClr w14:val="tx1"/>
            </w14:solidFill>
          </w14:textFill>
        </w:rPr>
        <w:t>分</w:t>
      </w:r>
      <w:r>
        <w:rPr>
          <w:rFonts w:hint="eastAsia" w:ascii="Times New Roman" w:hAnsi="Times New Roman" w:eastAsia="方正黑体_GBK" w:cs="方正黑体_GBK"/>
          <w:color w:val="000000" w:themeColor="text1"/>
          <w:sz w:val="30"/>
          <w:szCs w:val="30"/>
          <w:highlight w:val="none"/>
          <w14:textFill>
            <w14:solidFill>
              <w14:schemeClr w14:val="tx1"/>
            </w14:solidFill>
          </w14:textFill>
        </w:rPr>
        <w:t xml:space="preserve">  </w:t>
      </w:r>
      <w:r>
        <w:rPr>
          <w:rFonts w:hint="eastAsia" w:ascii="Times New Roman" w:hAnsi="Times New Roman" w:eastAsia="方正黑体_GBK" w:cs="方正黑体_GBK"/>
          <w:color w:val="000000" w:themeColor="text1"/>
          <w:sz w:val="30"/>
          <w:szCs w:val="30"/>
          <w:highlight w:val="none"/>
          <w:lang w:val="en-US" w:eastAsia="zh-CN"/>
          <w14:textFill>
            <w14:solidFill>
              <w14:schemeClr w14:val="tx1"/>
            </w14:solidFill>
          </w14:textFill>
        </w:rPr>
        <w:t>2025年度</w:t>
      </w:r>
      <w:r>
        <w:rPr>
          <w:rFonts w:hint="eastAsia" w:ascii="Times New Roman" w:hAnsi="Times New Roman" w:eastAsia="方正黑体_GBK" w:cs="方正黑体_GBK"/>
          <w:color w:val="000000" w:themeColor="text1"/>
          <w:sz w:val="30"/>
          <w:szCs w:val="30"/>
          <w:highlight w:val="none"/>
          <w14:textFill>
            <w14:solidFill>
              <w14:schemeClr w14:val="tx1"/>
            </w14:solidFill>
          </w14:textFill>
        </w:rPr>
        <w:t>部门决算情况说明</w:t>
      </w:r>
    </w:p>
    <w:p w14:paraId="4712EFB0">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color w:val="000000" w:themeColor="text1"/>
          <w:sz w:val="30"/>
          <w:szCs w:val="30"/>
          <w:highlight w:val="none"/>
          <w14:textFill>
            <w14:solidFill>
              <w14:schemeClr w14:val="tx1"/>
            </w14:solidFill>
          </w14:textFill>
        </w:rPr>
      </w:pPr>
      <w:r>
        <w:rPr>
          <w:rFonts w:hint="eastAsia" w:ascii="Times New Roman" w:hAnsi="Times New Roman" w:eastAsia="楷体"/>
          <w:color w:val="000000" w:themeColor="text1"/>
          <w:sz w:val="30"/>
          <w:szCs w:val="30"/>
          <w:highlight w:val="none"/>
          <w14:textFill>
            <w14:solidFill>
              <w14:schemeClr w14:val="tx1"/>
            </w14:solidFill>
          </w14:textFill>
        </w:rPr>
        <w:t>一、收入决算情况说明</w:t>
      </w:r>
    </w:p>
    <w:p w14:paraId="174410ED">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color w:val="000000" w:themeColor="text1"/>
          <w:sz w:val="30"/>
          <w:szCs w:val="30"/>
          <w:highlight w:val="none"/>
          <w14:textFill>
            <w14:solidFill>
              <w14:schemeClr w14:val="tx1"/>
            </w14:solidFill>
          </w14:textFill>
        </w:rPr>
      </w:pPr>
      <w:r>
        <w:rPr>
          <w:rFonts w:hint="eastAsia" w:ascii="Times New Roman" w:hAnsi="Times New Roman" w:eastAsia="楷体"/>
          <w:color w:val="000000" w:themeColor="text1"/>
          <w:sz w:val="30"/>
          <w:szCs w:val="30"/>
          <w:highlight w:val="none"/>
          <w14:textFill>
            <w14:solidFill>
              <w14:schemeClr w14:val="tx1"/>
            </w14:solidFill>
          </w14:textFill>
        </w:rPr>
        <w:t>二、支出决算情况说明</w:t>
      </w:r>
    </w:p>
    <w:p w14:paraId="6539CDF1">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color w:val="000000" w:themeColor="text1"/>
          <w:sz w:val="30"/>
          <w:szCs w:val="30"/>
          <w:highlight w:val="none"/>
          <w14:textFill>
            <w14:solidFill>
              <w14:schemeClr w14:val="tx1"/>
            </w14:solidFill>
          </w14:textFill>
        </w:rPr>
      </w:pPr>
      <w:r>
        <w:rPr>
          <w:rFonts w:hint="eastAsia" w:ascii="Times New Roman" w:hAnsi="Times New Roman" w:eastAsia="楷体"/>
          <w:color w:val="000000" w:themeColor="text1"/>
          <w:sz w:val="30"/>
          <w:szCs w:val="30"/>
          <w:highlight w:val="none"/>
          <w14:textFill>
            <w14:solidFill>
              <w14:schemeClr w14:val="tx1"/>
            </w14:solidFill>
          </w14:textFill>
        </w:rPr>
        <w:t>三、一般公共预算财政拨款支出决算情况说明</w:t>
      </w:r>
    </w:p>
    <w:p w14:paraId="7C557223">
      <w:pPr>
        <w:keepNext w:val="0"/>
        <w:keepLines w:val="0"/>
        <w:pageBreakBefore w:val="0"/>
        <w:widowControl/>
        <w:kinsoku/>
        <w:overflowPunct/>
        <w:topLinePunct w:val="0"/>
        <w:autoSpaceDE/>
        <w:autoSpaceDN/>
        <w:bidi w:val="0"/>
        <w:adjustRightInd/>
        <w:snapToGrid w:val="0"/>
        <w:spacing w:before="100" w:after="100" w:line="590" w:lineRule="exact"/>
        <w:jc w:val="left"/>
        <w:textAlignment w:val="auto"/>
        <w:outlineLvl w:val="1"/>
        <w:rPr>
          <w:rFonts w:hint="eastAsia" w:ascii="Times New Roman" w:hAnsi="Times New Roman" w:eastAsia="楷体"/>
          <w:color w:val="000000" w:themeColor="text1"/>
          <w:sz w:val="30"/>
          <w:szCs w:val="30"/>
          <w:highlight w:val="none"/>
          <w14:textFill>
            <w14:solidFill>
              <w14:schemeClr w14:val="tx1"/>
            </w14:solidFill>
          </w14:textFill>
        </w:rPr>
      </w:pPr>
      <w:r>
        <w:rPr>
          <w:rFonts w:hint="eastAsia" w:ascii="Times New Roman" w:hAnsi="Times New Roman" w:eastAsia="楷体"/>
          <w:color w:val="000000" w:themeColor="text1"/>
          <w:sz w:val="30"/>
          <w:szCs w:val="30"/>
          <w:highlight w:val="none"/>
          <w14:textFill>
            <w14:solidFill>
              <w14:schemeClr w14:val="tx1"/>
            </w14:solidFill>
          </w14:textFill>
        </w:rPr>
        <w:t>四、财政拨款“三公”经费支出决算情况说明</w:t>
      </w:r>
    </w:p>
    <w:p w14:paraId="08114C43">
      <w:pPr>
        <w:keepNext w:val="0"/>
        <w:keepLines w:val="0"/>
        <w:pageBreakBefore w:val="0"/>
        <w:kinsoku/>
        <w:overflowPunct/>
        <w:topLinePunct w:val="0"/>
        <w:autoSpaceDE/>
        <w:autoSpaceDN/>
        <w:bidi w:val="0"/>
        <w:adjustRightInd/>
        <w:spacing w:line="590" w:lineRule="exact"/>
        <w:jc w:val="left"/>
        <w:textAlignment w:val="auto"/>
        <w:outlineLvl w:val="0"/>
        <w:rPr>
          <w:rFonts w:hint="eastAsia" w:ascii="Times New Roman" w:hAnsi="Times New Roman" w:eastAsia="方正黑体_GBK" w:cs="方正黑体_GBK"/>
          <w:color w:val="000000" w:themeColor="text1"/>
          <w:sz w:val="30"/>
          <w:szCs w:val="30"/>
          <w:highlight w:val="none"/>
          <w14:textFill>
            <w14:solidFill>
              <w14:schemeClr w14:val="tx1"/>
            </w14:solidFill>
          </w14:textFill>
        </w:rPr>
      </w:pPr>
      <w:r>
        <w:rPr>
          <w:rFonts w:hint="eastAsia" w:ascii="Times New Roman" w:hAnsi="Times New Roman" w:eastAsia="方正黑体_GBK" w:cs="方正黑体_GBK"/>
          <w:color w:val="000000" w:themeColor="text1"/>
          <w:sz w:val="30"/>
          <w:szCs w:val="30"/>
          <w:highlight w:val="none"/>
          <w:lang w:eastAsia="zh-CN"/>
          <w14:textFill>
            <w14:solidFill>
              <w14:schemeClr w14:val="tx1"/>
            </w14:solidFill>
          </w14:textFill>
        </w:rPr>
        <w:t>第四部分</w:t>
      </w:r>
      <w:r>
        <w:rPr>
          <w:rFonts w:hint="eastAsia" w:ascii="Times New Roman" w:hAnsi="Times New Roman" w:eastAsia="方正黑体_GBK" w:cs="方正黑体_GBK"/>
          <w:color w:val="000000" w:themeColor="text1"/>
          <w:sz w:val="30"/>
          <w:szCs w:val="30"/>
          <w:highlight w:val="none"/>
          <w:lang w:val="en-US" w:eastAsia="zh-CN"/>
          <w14:textFill>
            <w14:solidFill>
              <w14:schemeClr w14:val="tx1"/>
            </w14:solidFill>
          </w14:textFill>
        </w:rPr>
        <w:t xml:space="preserve">  </w:t>
      </w:r>
      <w:r>
        <w:rPr>
          <w:rFonts w:hint="eastAsia" w:ascii="Times New Roman" w:hAnsi="Times New Roman" w:eastAsia="方正黑体_GBK" w:cs="方正黑体_GBK"/>
          <w:color w:val="000000" w:themeColor="text1"/>
          <w:sz w:val="30"/>
          <w:szCs w:val="30"/>
          <w:highlight w:val="none"/>
          <w14:textFill>
            <w14:solidFill>
              <w14:schemeClr w14:val="tx1"/>
            </w14:solidFill>
          </w14:textFill>
        </w:rPr>
        <w:t>其他重要事项及相关口径情况说明</w:t>
      </w:r>
    </w:p>
    <w:p w14:paraId="3D571F88">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color w:val="000000" w:themeColor="text1"/>
          <w:sz w:val="30"/>
          <w:szCs w:val="30"/>
          <w:highlight w:val="none"/>
          <w:lang w:eastAsia="zh-CN"/>
          <w14:textFill>
            <w14:solidFill>
              <w14:schemeClr w14:val="tx1"/>
            </w14:solidFill>
          </w14:textFill>
        </w:rPr>
      </w:pPr>
      <w:r>
        <w:rPr>
          <w:rFonts w:hint="eastAsia" w:ascii="Times New Roman" w:hAnsi="Times New Roman" w:eastAsia="楷体"/>
          <w:color w:val="000000" w:themeColor="text1"/>
          <w:sz w:val="30"/>
          <w:szCs w:val="30"/>
          <w:highlight w:val="none"/>
          <w:lang w:eastAsia="zh-CN"/>
          <w14:textFill>
            <w14:solidFill>
              <w14:schemeClr w14:val="tx1"/>
            </w14:solidFill>
          </w14:textFill>
        </w:rPr>
        <w:t>一、</w:t>
      </w:r>
      <w:r>
        <w:rPr>
          <w:rFonts w:hint="eastAsia" w:ascii="Times New Roman" w:hAnsi="Times New Roman" w:eastAsia="楷体"/>
          <w:color w:val="000000" w:themeColor="text1"/>
          <w:sz w:val="30"/>
          <w:szCs w:val="30"/>
          <w:highlight w:val="none"/>
          <w14:textFill>
            <w14:solidFill>
              <w14:schemeClr w14:val="tx1"/>
            </w14:solidFill>
          </w14:textFill>
        </w:rPr>
        <w:t>机关运行经费支出情况</w:t>
      </w:r>
    </w:p>
    <w:p w14:paraId="3C358252">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color w:val="000000" w:themeColor="text1"/>
          <w:sz w:val="30"/>
          <w:szCs w:val="30"/>
          <w:highlight w:val="none"/>
          <w:lang w:eastAsia="zh-CN"/>
          <w14:textFill>
            <w14:solidFill>
              <w14:schemeClr w14:val="tx1"/>
            </w14:solidFill>
          </w14:textFill>
        </w:rPr>
      </w:pPr>
      <w:r>
        <w:rPr>
          <w:rFonts w:hint="eastAsia" w:ascii="Times New Roman" w:hAnsi="Times New Roman" w:eastAsia="楷体"/>
          <w:color w:val="000000" w:themeColor="text1"/>
          <w:sz w:val="30"/>
          <w:szCs w:val="30"/>
          <w:highlight w:val="none"/>
          <w:lang w:eastAsia="zh-CN"/>
          <w14:textFill>
            <w14:solidFill>
              <w14:schemeClr w14:val="tx1"/>
            </w14:solidFill>
          </w14:textFill>
        </w:rPr>
        <w:t>二、</w:t>
      </w:r>
      <w:r>
        <w:rPr>
          <w:rFonts w:hint="eastAsia" w:ascii="Times New Roman" w:hAnsi="Times New Roman" w:eastAsia="楷体"/>
          <w:color w:val="000000" w:themeColor="text1"/>
          <w:sz w:val="30"/>
          <w:szCs w:val="30"/>
          <w:highlight w:val="none"/>
          <w14:textFill>
            <w14:solidFill>
              <w14:schemeClr w14:val="tx1"/>
            </w14:solidFill>
          </w14:textFill>
        </w:rPr>
        <w:t>国有资产占用情况</w:t>
      </w:r>
    </w:p>
    <w:p w14:paraId="72BA6C2C">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color w:val="000000" w:themeColor="text1"/>
          <w:sz w:val="30"/>
          <w:szCs w:val="30"/>
          <w:highlight w:val="none"/>
          <w:lang w:eastAsia="zh-CN"/>
          <w14:textFill>
            <w14:solidFill>
              <w14:schemeClr w14:val="tx1"/>
            </w14:solidFill>
          </w14:textFill>
        </w:rPr>
      </w:pPr>
      <w:r>
        <w:rPr>
          <w:rFonts w:hint="eastAsia" w:ascii="Times New Roman" w:hAnsi="Times New Roman" w:eastAsia="楷体"/>
          <w:color w:val="000000" w:themeColor="text1"/>
          <w:sz w:val="30"/>
          <w:szCs w:val="30"/>
          <w:highlight w:val="none"/>
          <w:lang w:eastAsia="zh-CN"/>
          <w14:textFill>
            <w14:solidFill>
              <w14:schemeClr w14:val="tx1"/>
            </w14:solidFill>
          </w14:textFill>
        </w:rPr>
        <w:t>三、</w:t>
      </w:r>
      <w:r>
        <w:rPr>
          <w:rFonts w:hint="eastAsia" w:ascii="Times New Roman" w:hAnsi="Times New Roman" w:eastAsia="楷体"/>
          <w:color w:val="000000" w:themeColor="text1"/>
          <w:sz w:val="30"/>
          <w:szCs w:val="30"/>
          <w:highlight w:val="none"/>
          <w14:textFill>
            <w14:solidFill>
              <w14:schemeClr w14:val="tx1"/>
            </w14:solidFill>
          </w14:textFill>
        </w:rPr>
        <w:t>政府采购支出情况</w:t>
      </w:r>
    </w:p>
    <w:p w14:paraId="45A16EA8">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color w:val="000000" w:themeColor="text1"/>
          <w:sz w:val="30"/>
          <w:szCs w:val="30"/>
          <w:highlight w:val="none"/>
          <w:lang w:val="en-US" w:eastAsia="zh-CN"/>
          <w14:textFill>
            <w14:solidFill>
              <w14:schemeClr w14:val="tx1"/>
            </w14:solidFill>
          </w14:textFill>
        </w:rPr>
      </w:pPr>
      <w:r>
        <w:rPr>
          <w:rFonts w:hint="eastAsia" w:ascii="Times New Roman" w:hAnsi="Times New Roman" w:eastAsia="楷体"/>
          <w:color w:val="000000" w:themeColor="text1"/>
          <w:sz w:val="30"/>
          <w:szCs w:val="30"/>
          <w:highlight w:val="none"/>
          <w:lang w:eastAsia="zh-CN"/>
          <w14:textFill>
            <w14:solidFill>
              <w14:schemeClr w14:val="tx1"/>
            </w14:solidFill>
          </w14:textFill>
        </w:rPr>
        <w:t>四、</w:t>
      </w:r>
      <w:r>
        <w:rPr>
          <w:rFonts w:hint="eastAsia" w:ascii="Times New Roman" w:hAnsi="Times New Roman" w:eastAsia="楷体"/>
          <w:color w:val="000000" w:themeColor="text1"/>
          <w:sz w:val="30"/>
          <w:szCs w:val="30"/>
          <w:highlight w:val="none"/>
          <w:lang w:val="en-US" w:eastAsia="zh-CN"/>
          <w14:textFill>
            <w14:solidFill>
              <w14:schemeClr w14:val="tx1"/>
            </w14:solidFill>
          </w14:textFill>
        </w:rPr>
        <w:t>部门绩效自评情况</w:t>
      </w:r>
    </w:p>
    <w:p w14:paraId="6890C060">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color w:val="000000" w:themeColor="text1"/>
          <w:sz w:val="30"/>
          <w:szCs w:val="30"/>
          <w:highlight w:val="none"/>
          <w:lang w:val="en-US" w:eastAsia="zh-CN"/>
          <w14:textFill>
            <w14:solidFill>
              <w14:schemeClr w14:val="tx1"/>
            </w14:solidFill>
          </w14:textFill>
        </w:rPr>
      </w:pPr>
      <w:r>
        <w:rPr>
          <w:rFonts w:hint="eastAsia" w:ascii="Times New Roman" w:hAnsi="Times New Roman" w:eastAsia="楷体"/>
          <w:color w:val="000000" w:themeColor="text1"/>
          <w:sz w:val="30"/>
          <w:szCs w:val="30"/>
          <w:highlight w:val="none"/>
          <w:lang w:eastAsia="zh-CN"/>
          <w14:textFill>
            <w14:solidFill>
              <w14:schemeClr w14:val="tx1"/>
            </w14:solidFill>
          </w14:textFill>
        </w:rPr>
        <w:t>五、</w:t>
      </w:r>
      <w:r>
        <w:rPr>
          <w:rFonts w:hint="eastAsia" w:ascii="Times New Roman" w:hAnsi="Times New Roman" w:eastAsia="楷体"/>
          <w:color w:val="000000" w:themeColor="text1"/>
          <w:sz w:val="30"/>
          <w:szCs w:val="30"/>
          <w:highlight w:val="none"/>
          <w:lang w:val="en-US" w:eastAsia="zh-CN"/>
          <w14:textFill>
            <w14:solidFill>
              <w14:schemeClr w14:val="tx1"/>
            </w14:solidFill>
          </w14:textFill>
        </w:rPr>
        <w:t>其他重要事项情况说明</w:t>
      </w:r>
    </w:p>
    <w:p w14:paraId="12AB1168">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color w:val="000000" w:themeColor="text1"/>
          <w:sz w:val="30"/>
          <w:szCs w:val="30"/>
          <w:highlight w:val="none"/>
          <w:lang w:val="en-US" w:eastAsia="zh-CN"/>
          <w14:textFill>
            <w14:solidFill>
              <w14:schemeClr w14:val="tx1"/>
            </w14:solidFill>
          </w14:textFill>
        </w:rPr>
      </w:pPr>
      <w:r>
        <w:rPr>
          <w:rFonts w:hint="eastAsia" w:ascii="Times New Roman" w:hAnsi="Times New Roman" w:eastAsia="楷体"/>
          <w:color w:val="000000" w:themeColor="text1"/>
          <w:sz w:val="30"/>
          <w:szCs w:val="30"/>
          <w:highlight w:val="none"/>
          <w:lang w:val="en-US" w:eastAsia="zh-CN"/>
          <w14:textFill>
            <w14:solidFill>
              <w14:schemeClr w14:val="tx1"/>
            </w14:solidFill>
          </w14:textFill>
        </w:rPr>
        <w:t>六、相关口径说明</w:t>
      </w:r>
    </w:p>
    <w:p w14:paraId="4BAE79EF">
      <w:pPr>
        <w:keepNext w:val="0"/>
        <w:keepLines w:val="0"/>
        <w:pageBreakBefore w:val="0"/>
        <w:widowControl/>
        <w:kinsoku/>
        <w:overflowPunct/>
        <w:topLinePunct w:val="0"/>
        <w:autoSpaceDE/>
        <w:autoSpaceDN/>
        <w:bidi w:val="0"/>
        <w:adjustRightInd/>
        <w:snapToGrid w:val="0"/>
        <w:spacing w:before="100" w:after="100" w:line="590" w:lineRule="exact"/>
        <w:jc w:val="left"/>
        <w:textAlignment w:val="auto"/>
        <w:outlineLvl w:val="0"/>
        <w:rPr>
          <w:rFonts w:hint="eastAsia" w:ascii="Times New Roman" w:hAnsi="Times New Roman" w:eastAsia="黑体"/>
          <w:color w:val="000000" w:themeColor="text1"/>
          <w:sz w:val="30"/>
          <w:szCs w:val="30"/>
          <w:highlight w:val="none"/>
          <w14:textFill>
            <w14:solidFill>
              <w14:schemeClr w14:val="tx1"/>
            </w14:solidFill>
          </w14:textFill>
        </w:rPr>
      </w:pPr>
      <w:r>
        <w:rPr>
          <w:rFonts w:hint="eastAsia" w:ascii="Times New Roman" w:hAnsi="Times New Roman" w:eastAsia="方正黑体_GBK" w:cs="方正黑体_GBK"/>
          <w:color w:val="000000" w:themeColor="text1"/>
          <w:sz w:val="30"/>
          <w:szCs w:val="30"/>
          <w:highlight w:val="none"/>
          <w:lang w:eastAsia="zh-CN"/>
          <w14:textFill>
            <w14:solidFill>
              <w14:schemeClr w14:val="tx1"/>
            </w14:solidFill>
          </w14:textFill>
        </w:rPr>
        <w:t>第五部分  名词解释</w:t>
      </w:r>
    </w:p>
    <w:p w14:paraId="70B78D48">
      <w:pPr>
        <w:keepNext w:val="0"/>
        <w:keepLines w:val="0"/>
        <w:pageBreakBefore w:val="0"/>
        <w:kinsoku/>
        <w:overflowPunct/>
        <w:topLinePunct w:val="0"/>
        <w:autoSpaceDE/>
        <w:autoSpaceDN/>
        <w:bidi w:val="0"/>
        <w:adjustRightInd/>
        <w:spacing w:line="590" w:lineRule="exact"/>
        <w:jc w:val="both"/>
        <w:textAlignment w:val="auto"/>
        <w:rPr>
          <w:rFonts w:hint="eastAsia" w:ascii="Times New Roman" w:hAnsi="Times New Roman" w:eastAsia="黑体"/>
          <w:color w:val="000000" w:themeColor="text1"/>
          <w:sz w:val="32"/>
          <w:szCs w:val="32"/>
          <w:highlight w:val="none"/>
          <w14:textFill>
            <w14:solidFill>
              <w14:schemeClr w14:val="tx1"/>
            </w14:solidFill>
          </w14:textFill>
        </w:rPr>
      </w:pPr>
    </w:p>
    <w:p w14:paraId="6746913A">
      <w:pPr>
        <w:pStyle w:val="2"/>
        <w:rPr>
          <w:rFonts w:hint="eastAsia" w:ascii="Times New Roman" w:hAnsi="Times New Roman" w:eastAsia="黑体"/>
          <w:color w:val="000000" w:themeColor="text1"/>
          <w:sz w:val="32"/>
          <w:szCs w:val="32"/>
          <w:highlight w:val="none"/>
          <w14:textFill>
            <w14:solidFill>
              <w14:schemeClr w14:val="tx1"/>
            </w14:solidFill>
          </w14:textFill>
        </w:rPr>
      </w:pPr>
    </w:p>
    <w:p w14:paraId="29A30E0D">
      <w:pPr>
        <w:pStyle w:val="2"/>
        <w:rPr>
          <w:rFonts w:hint="eastAsia" w:ascii="Times New Roman" w:hAnsi="Times New Roman" w:eastAsia="黑体"/>
          <w:color w:val="000000" w:themeColor="text1"/>
          <w:sz w:val="32"/>
          <w:szCs w:val="32"/>
          <w:highlight w:val="none"/>
          <w14:textFill>
            <w14:solidFill>
              <w14:schemeClr w14:val="tx1"/>
            </w14:solidFill>
          </w14:textFill>
        </w:rPr>
      </w:pPr>
    </w:p>
    <w:p w14:paraId="18BD300E">
      <w:pPr>
        <w:pStyle w:val="2"/>
        <w:rPr>
          <w:rFonts w:hint="eastAsia" w:ascii="Times New Roman" w:hAnsi="Times New Roman" w:eastAsia="黑体"/>
          <w:color w:val="000000" w:themeColor="text1"/>
          <w:sz w:val="32"/>
          <w:szCs w:val="32"/>
          <w:highlight w:val="none"/>
          <w14:textFill>
            <w14:solidFill>
              <w14:schemeClr w14:val="tx1"/>
            </w14:solidFill>
          </w14:textFill>
        </w:rPr>
      </w:pPr>
    </w:p>
    <w:p w14:paraId="4463A2AE">
      <w:pPr>
        <w:pStyle w:val="2"/>
        <w:rPr>
          <w:rFonts w:hint="eastAsia" w:ascii="Times New Roman" w:hAnsi="Times New Roman" w:eastAsia="黑体"/>
          <w:color w:val="000000" w:themeColor="text1"/>
          <w:sz w:val="32"/>
          <w:szCs w:val="32"/>
          <w:highlight w:val="none"/>
          <w14:textFill>
            <w14:solidFill>
              <w14:schemeClr w14:val="tx1"/>
            </w14:solidFill>
          </w14:textFill>
        </w:rPr>
      </w:pPr>
    </w:p>
    <w:p w14:paraId="6C2CDE0C">
      <w:pPr>
        <w:pStyle w:val="2"/>
        <w:rPr>
          <w:rFonts w:hint="eastAsia" w:ascii="Times New Roman" w:hAnsi="Times New Roman" w:eastAsia="黑体"/>
          <w:color w:val="000000" w:themeColor="text1"/>
          <w:sz w:val="32"/>
          <w:szCs w:val="32"/>
          <w:highlight w:val="none"/>
          <w14:textFill>
            <w14:solidFill>
              <w14:schemeClr w14:val="tx1"/>
            </w14:solidFill>
          </w14:textFill>
        </w:rPr>
      </w:pPr>
    </w:p>
    <w:p w14:paraId="67627562">
      <w:pPr>
        <w:pStyle w:val="2"/>
        <w:rPr>
          <w:rFonts w:hint="eastAsia" w:ascii="Times New Roman" w:hAnsi="Times New Roman" w:eastAsia="黑体"/>
          <w:color w:val="000000" w:themeColor="text1"/>
          <w:sz w:val="32"/>
          <w:szCs w:val="32"/>
          <w:highlight w:val="none"/>
          <w14:textFill>
            <w14:solidFill>
              <w14:schemeClr w14:val="tx1"/>
            </w14:solidFill>
          </w14:textFill>
        </w:rPr>
      </w:pPr>
    </w:p>
    <w:p w14:paraId="381E7082">
      <w:pPr>
        <w:pStyle w:val="2"/>
        <w:rPr>
          <w:rFonts w:hint="eastAsia" w:ascii="Times New Roman" w:hAnsi="Times New Roman" w:eastAsia="黑体"/>
          <w:color w:val="000000" w:themeColor="text1"/>
          <w:sz w:val="32"/>
          <w:szCs w:val="32"/>
          <w:highlight w:val="none"/>
          <w14:textFill>
            <w14:solidFill>
              <w14:schemeClr w14:val="tx1"/>
            </w14:solidFill>
          </w14:textFill>
        </w:rPr>
      </w:pPr>
    </w:p>
    <w:p w14:paraId="4EA51DD4">
      <w:pPr>
        <w:pStyle w:val="2"/>
        <w:rPr>
          <w:rFonts w:hint="eastAsia" w:ascii="Times New Roman" w:hAnsi="Times New Roman" w:eastAsia="黑体"/>
          <w:color w:val="000000" w:themeColor="text1"/>
          <w:sz w:val="32"/>
          <w:szCs w:val="32"/>
          <w:highlight w:val="none"/>
          <w14:textFill>
            <w14:solidFill>
              <w14:schemeClr w14:val="tx1"/>
            </w14:solidFill>
          </w14:textFill>
        </w:rPr>
      </w:pPr>
    </w:p>
    <w:p w14:paraId="2EBF5904">
      <w:pPr>
        <w:pStyle w:val="2"/>
        <w:rPr>
          <w:rFonts w:hint="eastAsia" w:ascii="Times New Roman" w:hAnsi="Times New Roman" w:eastAsia="黑体"/>
          <w:color w:val="000000" w:themeColor="text1"/>
          <w:sz w:val="32"/>
          <w:szCs w:val="32"/>
          <w:highlight w:val="none"/>
          <w14:textFill>
            <w14:solidFill>
              <w14:schemeClr w14:val="tx1"/>
            </w14:solidFill>
          </w14:textFill>
        </w:rPr>
      </w:pPr>
    </w:p>
    <w:p w14:paraId="0DAE8E6E">
      <w:pPr>
        <w:pStyle w:val="2"/>
        <w:rPr>
          <w:rFonts w:hint="eastAsia" w:ascii="Times New Roman" w:hAnsi="Times New Roman" w:eastAsia="黑体"/>
          <w:color w:val="000000" w:themeColor="text1"/>
          <w:sz w:val="32"/>
          <w:szCs w:val="32"/>
          <w:highlight w:val="none"/>
          <w14:textFill>
            <w14:solidFill>
              <w14:schemeClr w14:val="tx1"/>
            </w14:solidFill>
          </w14:textFill>
        </w:rPr>
      </w:pPr>
      <w:bookmarkStart w:id="0" w:name="_GoBack"/>
      <w:bookmarkEnd w:id="0"/>
    </w:p>
    <w:p w14:paraId="01E85E77">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Times New Roman" w:hAnsi="Times New Roman" w:eastAsia="方正黑体_GBK" w:cs="方正黑体_GBK"/>
          <w:color w:val="000000" w:themeColor="text1"/>
          <w:sz w:val="32"/>
          <w:szCs w:val="32"/>
          <w:highlight w:val="none"/>
          <w:lang w:eastAsia="zh-CN"/>
          <w14:textFill>
            <w14:solidFill>
              <w14:schemeClr w14:val="tx1"/>
            </w14:solidFill>
          </w14:textFill>
        </w:rPr>
      </w:pPr>
      <w:r>
        <w:rPr>
          <w:rFonts w:hint="eastAsia" w:ascii="Times New Roman" w:hAnsi="Times New Roman" w:eastAsia="方正黑体_GBK" w:cs="方正黑体_GBK"/>
          <w:color w:val="000000" w:themeColor="text1"/>
          <w:sz w:val="32"/>
          <w:szCs w:val="32"/>
          <w:highlight w:val="none"/>
          <w14:textFill>
            <w14:solidFill>
              <w14:schemeClr w14:val="tx1"/>
            </w14:solidFill>
          </w14:textFill>
        </w:rPr>
        <w:t xml:space="preserve">第一部分  </w:t>
      </w:r>
      <w:r>
        <w:rPr>
          <w:rFonts w:hint="eastAsia" w:ascii="Times New Roman" w:hAnsi="Times New Roman" w:eastAsia="方正黑体_GBK" w:cs="方正黑体_GBK"/>
          <w:color w:val="000000" w:themeColor="text1"/>
          <w:sz w:val="32"/>
          <w:szCs w:val="32"/>
          <w:highlight w:val="none"/>
          <w:lang w:eastAsia="zh-CN"/>
          <w14:textFill>
            <w14:solidFill>
              <w14:schemeClr w14:val="tx1"/>
            </w14:solidFill>
          </w14:textFill>
        </w:rPr>
        <w:t>部门概况</w:t>
      </w:r>
    </w:p>
    <w:p w14:paraId="4D5A44C0">
      <w:pPr>
        <w:keepNext w:val="0"/>
        <w:keepLines w:val="0"/>
        <w:pageBreakBefore w:val="0"/>
        <w:kinsoku/>
        <w:overflowPunct/>
        <w:topLinePunct w:val="0"/>
        <w:autoSpaceDE/>
        <w:autoSpaceDN/>
        <w:bidi w:val="0"/>
        <w:adjustRightInd/>
        <w:spacing w:line="590" w:lineRule="exact"/>
        <w:ind w:firstLine="600" w:firstLineChars="200"/>
        <w:textAlignment w:val="auto"/>
        <w:outlineLvl w:val="1"/>
        <w:rPr>
          <w:rFonts w:hint="eastAsia" w:ascii="Times New Roman" w:hAnsi="Times New Roman" w:eastAsia="黑体"/>
          <w:color w:val="000000" w:themeColor="text1"/>
          <w:sz w:val="30"/>
          <w:szCs w:val="30"/>
          <w:highlight w:val="none"/>
          <w:lang w:eastAsia="zh-CN"/>
          <w14:textFill>
            <w14:solidFill>
              <w14:schemeClr w14:val="tx1"/>
            </w14:solidFill>
          </w14:textFill>
        </w:rPr>
      </w:pPr>
      <w:r>
        <w:rPr>
          <w:rFonts w:hint="eastAsia" w:ascii="Times New Roman" w:hAnsi="Times New Roman" w:eastAsia="方正黑体_GBK" w:cs="方正黑体_GBK"/>
          <w:color w:val="000000" w:themeColor="text1"/>
          <w:sz w:val="30"/>
          <w:szCs w:val="30"/>
          <w:highlight w:val="none"/>
          <w14:textFill>
            <w14:solidFill>
              <w14:schemeClr w14:val="tx1"/>
            </w14:solidFill>
          </w14:textFill>
        </w:rPr>
        <w:t>一、主要</w:t>
      </w:r>
      <w:r>
        <w:rPr>
          <w:rFonts w:hint="eastAsia" w:ascii="Times New Roman" w:hAnsi="Times New Roman" w:eastAsia="方正黑体_GBK" w:cs="方正黑体_GBK"/>
          <w:color w:val="000000" w:themeColor="text1"/>
          <w:sz w:val="30"/>
          <w:szCs w:val="30"/>
          <w:highlight w:val="none"/>
          <w:lang w:eastAsia="zh-CN"/>
          <w14:textFill>
            <w14:solidFill>
              <w14:schemeClr w14:val="tx1"/>
            </w14:solidFill>
          </w14:textFill>
        </w:rPr>
        <w:t>职责</w:t>
      </w:r>
    </w:p>
    <w:p w14:paraId="41A3D133">
      <w:pPr>
        <w:keepNext w:val="0"/>
        <w:keepLines w:val="0"/>
        <w:pageBreakBefore w:val="0"/>
        <w:widowControl w:val="0"/>
        <w:kinsoku/>
        <w:wordWrap/>
        <w:overflowPunct/>
        <w:topLinePunct w:val="0"/>
        <w:autoSpaceDE/>
        <w:autoSpaceDN/>
        <w:bidi w:val="0"/>
        <w:adjustRightInd/>
        <w:snapToGrid/>
        <w:spacing w:line="590" w:lineRule="exact"/>
        <w:ind w:firstLine="600" w:firstLineChars="200"/>
        <w:jc w:val="both"/>
        <w:textAlignment w:val="auto"/>
        <w:rPr>
          <w:rFonts w:hint="eastAsia" w:ascii="Times New Roman" w:hAnsi="Times New Roman" w:eastAsia="方正仿宋_GBK" w:cs="方正仿宋_GBK"/>
          <w:color w:val="000000" w:themeColor="text1"/>
          <w:sz w:val="30"/>
          <w:szCs w:val="30"/>
          <w:lang w:val="en-US"/>
          <w14:textFill>
            <w14:solidFill>
              <w14:schemeClr w14:val="tx1"/>
            </w14:solidFill>
          </w14:textFill>
        </w:rPr>
      </w:pPr>
      <w:r>
        <w:rPr>
          <w:rFonts w:hint="eastAsia" w:ascii="Times New Roman" w:hAnsi="Times New Roman" w:eastAsia="方正仿宋_GBK" w:cs="方正仿宋_GBK"/>
          <w:color w:val="000000" w:themeColor="text1"/>
          <w:sz w:val="30"/>
          <w:szCs w:val="30"/>
          <w:lang w:val="en-US"/>
          <w14:textFill>
            <w14:solidFill>
              <w14:schemeClr w14:val="tx1"/>
            </w14:solidFill>
          </w14:textFill>
        </w:rPr>
        <w:t>贯彻落实党中央、国务院，省委、省政府，市委、市政府有关党史、地方志工作的方针、政策、法规及决策部署，以及县委、县政府工作要求，制定全县党史、地方志工作规划、计划并组织实施。研究中国共产党华宁历史，组织编写华宁党史资料和出版华宁党史基本著作，编纂出版有关党史书籍。组织编纂地方志书、地方综合年鉴，编纂出版《华宁县志》《华宁年鉴》，组织整理旧志，开展地情研究。负责征集、整理、保管和利用华宁党史、地方志文献资料，收集、整理重要口述资料、重要人物回忆录。利用党史征研和地方志编修成果，开展党史、新中国史、改革开放史、社会主义发展史和华宁优秀传统文化的宣传教育。贯彻落实《玉溪市革命遗址保护条例》，负责全县革命遗址的普查、保护、开发利用工作。审核涉及华宁党史、地方志的重要文稿、档案、书稿、照片；参与审核涉及华宁党史题材的影视作品、展览展陈等，协助审核华宁重大党史事件、重要党史人物的纪念活动方案并承办、协办相关活动。组织开展党史、地方志理论和课题研究，开展党史、地方志学术研讨活动，</w:t>
      </w:r>
    </w:p>
    <w:p w14:paraId="7D939E79">
      <w:pPr>
        <w:keepNext w:val="0"/>
        <w:keepLines w:val="0"/>
        <w:pageBreakBefore w:val="0"/>
        <w:widowControl w:val="0"/>
        <w:kinsoku/>
        <w:wordWrap/>
        <w:overflowPunct/>
        <w:topLinePunct w:val="0"/>
        <w:autoSpaceDE/>
        <w:autoSpaceDN/>
        <w:bidi w:val="0"/>
        <w:adjustRightInd/>
        <w:snapToGrid/>
        <w:spacing w:line="590" w:lineRule="exact"/>
        <w:jc w:val="both"/>
        <w:textAlignment w:val="auto"/>
        <w:rPr>
          <w:rFonts w:hint="eastAsia" w:ascii="Times New Roman" w:hAnsi="Times New Roman" w:eastAsia="方正仿宋_GBK" w:cs="方正仿宋_GBK"/>
          <w:color w:val="000000" w:themeColor="text1"/>
          <w:sz w:val="30"/>
          <w:szCs w:val="30"/>
          <w:lang w:val="en-US"/>
          <w14:textFill>
            <w14:solidFill>
              <w14:schemeClr w14:val="tx1"/>
            </w14:solidFill>
          </w14:textFill>
        </w:rPr>
      </w:pPr>
      <w:r>
        <w:rPr>
          <w:rFonts w:hint="eastAsia" w:ascii="Times New Roman" w:hAnsi="Times New Roman" w:eastAsia="方正仿宋_GBK" w:cs="方正仿宋_GBK"/>
          <w:color w:val="000000" w:themeColor="text1"/>
          <w:sz w:val="30"/>
          <w:szCs w:val="30"/>
          <w:lang w:val="en-US"/>
          <w14:textFill>
            <w14:solidFill>
              <w14:schemeClr w14:val="tx1"/>
            </w14:solidFill>
          </w14:textFill>
        </w:rPr>
        <w:t>开展与县外党史、地方志部门的协作交流。指导全县党史地方志工作，组织党史、地方志和年鉴工作人员的业务培训。</w:t>
      </w:r>
    </w:p>
    <w:p w14:paraId="5304DBF3">
      <w:pPr>
        <w:keepNext w:val="0"/>
        <w:keepLines w:val="0"/>
        <w:pageBreakBefore w:val="0"/>
        <w:numPr>
          <w:ilvl w:val="0"/>
          <w:numId w:val="0"/>
        </w:numPr>
        <w:kinsoku/>
        <w:overflowPunct/>
        <w:topLinePunct w:val="0"/>
        <w:autoSpaceDE/>
        <w:autoSpaceDN/>
        <w:bidi w:val="0"/>
        <w:adjustRightInd/>
        <w:spacing w:line="590" w:lineRule="exact"/>
        <w:ind w:firstLine="600" w:firstLineChars="200"/>
        <w:textAlignment w:val="auto"/>
        <w:outlineLvl w:val="1"/>
        <w:rPr>
          <w:rFonts w:hint="eastAsia" w:ascii="Times New Roman" w:hAnsi="Times New Roman" w:eastAsia="黑体"/>
          <w:color w:val="000000" w:themeColor="text1"/>
          <w:sz w:val="30"/>
          <w:szCs w:val="30"/>
          <w:highlight w:val="none"/>
          <w:lang w:eastAsia="zh-CN"/>
          <w14:textFill>
            <w14:solidFill>
              <w14:schemeClr w14:val="tx1"/>
            </w14:solidFill>
          </w14:textFill>
        </w:rPr>
      </w:pPr>
      <w:r>
        <w:rPr>
          <w:rFonts w:hint="eastAsia" w:ascii="Times New Roman" w:hAnsi="Times New Roman" w:eastAsia="方正黑体_GBK" w:cs="方正黑体_GBK"/>
          <w:color w:val="000000" w:themeColor="text1"/>
          <w:sz w:val="30"/>
          <w:szCs w:val="30"/>
          <w:highlight w:val="none"/>
          <w:lang w:eastAsia="zh-CN"/>
          <w14:textFill>
            <w14:solidFill>
              <w14:schemeClr w14:val="tx1"/>
            </w14:solidFill>
          </w14:textFill>
        </w:rPr>
        <w:t>二、基本情况</w:t>
      </w:r>
    </w:p>
    <w:p w14:paraId="5BA0B86C">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outlineLvl w:val="2"/>
        <w:rPr>
          <w:rFonts w:hint="eastAsia" w:ascii="方正楷体_GBK" w:hAnsi="方正楷体_GBK" w:eastAsia="方正楷体_GBK" w:cs="方正楷体_GBK"/>
          <w:color w:val="000000" w:themeColor="text1"/>
          <w:sz w:val="30"/>
          <w:szCs w:val="30"/>
          <w:highlight w:val="none"/>
          <w:lang w:eastAsia="zh-CN"/>
          <w14:textFill>
            <w14:solidFill>
              <w14:schemeClr w14:val="tx1"/>
            </w14:solidFill>
          </w14:textFill>
        </w:rPr>
      </w:pPr>
      <w:r>
        <w:rPr>
          <w:rFonts w:hint="eastAsia" w:ascii="方正楷体_GBK" w:hAnsi="方正楷体_GBK" w:eastAsia="方正楷体_GBK" w:cs="方正楷体_GBK"/>
          <w:color w:val="000000" w:themeColor="text1"/>
          <w:sz w:val="30"/>
          <w:szCs w:val="30"/>
          <w:highlight w:val="none"/>
          <w:lang w:eastAsia="zh-CN"/>
          <w14:textFill>
            <w14:solidFill>
              <w14:schemeClr w14:val="tx1"/>
            </w14:solidFill>
          </w14:textFill>
        </w:rPr>
        <w:t>（一）机构设置情况</w:t>
      </w:r>
    </w:p>
    <w:p w14:paraId="594A16A1">
      <w:pPr>
        <w:keepNext w:val="0"/>
        <w:keepLines w:val="0"/>
        <w:pageBreakBefore w:val="0"/>
        <w:widowControl w:val="0"/>
        <w:kinsoku/>
        <w:wordWrap/>
        <w:overflowPunct/>
        <w:topLinePunct w:val="0"/>
        <w:autoSpaceDE/>
        <w:autoSpaceDN/>
        <w:bidi w:val="0"/>
        <w:adjustRightInd/>
        <w:snapToGrid/>
        <w:spacing w:line="590" w:lineRule="exact"/>
        <w:ind w:firstLine="600" w:firstLineChars="200"/>
        <w:jc w:val="both"/>
        <w:textAlignment w:val="auto"/>
        <w:rPr>
          <w:rFonts w:hint="eastAsia" w:ascii="Times New Roman" w:hAnsi="Times New Roman" w:eastAsia="方正仿宋_GBK" w:cs="方正仿宋_GBK"/>
          <w:color w:val="000000" w:themeColor="text1"/>
          <w:sz w:val="30"/>
          <w:szCs w:val="30"/>
          <w:lang w:val="en-US"/>
          <w14:textFill>
            <w14:solidFill>
              <w14:schemeClr w14:val="tx1"/>
            </w14:solidFill>
          </w14:textFill>
        </w:rPr>
      </w:pP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我部门共设置2个内设机构，包括：</w:t>
      </w:r>
      <w:r>
        <w:rPr>
          <w:rFonts w:hint="default" w:ascii="Times New Roman" w:hAnsi="Times New Roman" w:eastAsia="方正仿宋_GBK" w:cs="方正仿宋_GBK"/>
          <w:color w:val="000000" w:themeColor="text1"/>
          <w:sz w:val="30"/>
          <w:szCs w:val="30"/>
          <w:lang w:val="en-US"/>
          <w14:textFill>
            <w14:solidFill>
              <w14:schemeClr w14:val="tx1"/>
            </w14:solidFill>
          </w14:textFill>
        </w:rPr>
        <w:t>综合股、业务股。</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所属单位0个。</w:t>
      </w:r>
    </w:p>
    <w:p w14:paraId="5E765533">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outlineLvl w:val="2"/>
        <w:rPr>
          <w:rFonts w:hint="eastAsia" w:ascii="方正楷体_GBK" w:hAnsi="方正楷体_GBK" w:eastAsia="方正楷体_GBK" w:cs="方正楷体_GBK"/>
          <w:color w:val="000000" w:themeColor="text1"/>
          <w:sz w:val="30"/>
          <w:szCs w:val="30"/>
          <w:highlight w:val="none"/>
          <w:lang w:eastAsia="zh-CN"/>
          <w14:textFill>
            <w14:solidFill>
              <w14:schemeClr w14:val="tx1"/>
            </w14:solidFill>
          </w14:textFill>
        </w:rPr>
      </w:pPr>
      <w:r>
        <w:rPr>
          <w:rFonts w:hint="eastAsia" w:ascii="方正楷体_GBK" w:hAnsi="方正楷体_GBK" w:eastAsia="方正楷体_GBK" w:cs="方正楷体_GBK"/>
          <w:color w:val="000000" w:themeColor="text1"/>
          <w:sz w:val="30"/>
          <w:szCs w:val="30"/>
          <w:highlight w:val="none"/>
          <w:lang w:eastAsia="zh-CN"/>
          <w14:textFill>
            <w14:solidFill>
              <w14:schemeClr w14:val="tx1"/>
            </w14:solidFill>
          </w14:textFill>
        </w:rPr>
        <w:t>（二）决算单位构成情况</w:t>
      </w:r>
    </w:p>
    <w:p w14:paraId="36F5379C">
      <w:pPr>
        <w:keepNext w:val="0"/>
        <w:keepLines w:val="0"/>
        <w:pageBreakBefore w:val="0"/>
        <w:widowControl w:val="0"/>
        <w:kinsoku/>
        <w:wordWrap/>
        <w:overflowPunct/>
        <w:topLinePunct w:val="0"/>
        <w:autoSpaceDE/>
        <w:autoSpaceDN/>
        <w:bidi w:val="0"/>
        <w:adjustRightInd/>
        <w:snapToGrid/>
        <w:spacing w:line="590" w:lineRule="exact"/>
        <w:ind w:firstLine="600" w:firstLineChars="200"/>
        <w:jc w:val="both"/>
        <w:textAlignment w:val="auto"/>
        <w:rPr>
          <w:rFonts w:hint="default" w:ascii="Times New Roman" w:hAnsi="Times New Roman" w:eastAsia="方正仿宋_GBK" w:cs="方正仿宋_GBK"/>
          <w:color w:val="000000" w:themeColor="text1"/>
          <w:sz w:val="30"/>
          <w:szCs w:val="30"/>
          <w:lang w:val="zh-CN"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纳入我部门2025年度部门决算编报的单位共1个</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w:t>
      </w:r>
      <w:r>
        <w:rPr>
          <w:rFonts w:hint="default" w:ascii="Times New Roman" w:hAnsi="Times New Roman" w:eastAsia="方正仿宋_GBK" w:cs="方正仿宋_GBK"/>
          <w:color w:val="000000" w:themeColor="text1"/>
          <w:sz w:val="30"/>
          <w:szCs w:val="30"/>
          <w:lang w:val="en-US" w:eastAsia="zh-CN"/>
          <w14:textFill>
            <w14:solidFill>
              <w14:schemeClr w14:val="tx1"/>
            </w14:solidFill>
          </w14:textFill>
        </w:rPr>
        <w:t>中国共产党华宁县委员会党史研究室。</w:t>
      </w:r>
    </w:p>
    <w:p w14:paraId="1ED4A86A">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outlineLvl w:val="2"/>
        <w:rPr>
          <w:rFonts w:hint="eastAsia" w:ascii="方正楷体_GBK" w:hAnsi="方正楷体_GBK" w:eastAsia="方正楷体_GBK" w:cs="方正楷体_GBK"/>
          <w:color w:val="000000" w:themeColor="text1"/>
          <w:sz w:val="30"/>
          <w:szCs w:val="30"/>
          <w:highlight w:val="none"/>
          <w:lang w:eastAsia="zh-CN"/>
          <w14:textFill>
            <w14:solidFill>
              <w14:schemeClr w14:val="tx1"/>
            </w14:solidFill>
          </w14:textFill>
        </w:rPr>
      </w:pPr>
      <w:r>
        <w:rPr>
          <w:rFonts w:hint="eastAsia" w:ascii="方正楷体_GBK" w:hAnsi="方正楷体_GBK" w:eastAsia="方正楷体_GBK" w:cs="方正楷体_GBK"/>
          <w:color w:val="000000" w:themeColor="text1"/>
          <w:sz w:val="30"/>
          <w:szCs w:val="30"/>
          <w:highlight w:val="none"/>
          <w:lang w:eastAsia="zh-CN"/>
          <w14:textFill>
            <w14:solidFill>
              <w14:schemeClr w14:val="tx1"/>
            </w14:solidFill>
          </w14:textFill>
        </w:rPr>
        <w:t>（三）部门人员和车辆的编制及实有情况</w:t>
      </w:r>
    </w:p>
    <w:p w14:paraId="354A188C">
      <w:pPr>
        <w:keepNext w:val="0"/>
        <w:keepLines w:val="0"/>
        <w:pageBreakBefore w:val="0"/>
        <w:widowControl w:val="0"/>
        <w:kinsoku/>
        <w:wordWrap/>
        <w:overflowPunct/>
        <w:topLinePunct w:val="0"/>
        <w:autoSpaceDE/>
        <w:autoSpaceDN/>
        <w:bidi w:val="0"/>
        <w:adjustRightInd/>
        <w:snapToGrid/>
        <w:spacing w:line="590" w:lineRule="exact"/>
        <w:ind w:firstLine="600" w:firstLineChars="200"/>
        <w:jc w:val="both"/>
        <w:textAlignment w:val="auto"/>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我部门2025年末编制内实有人员6人。包括财政拨款开支经费的：公务员0人，参照公务员法管理人员6人，事业管理人员和专业技术人员0人，机关和事业工人0人；经费自理人员0人。</w:t>
      </w:r>
    </w:p>
    <w:p w14:paraId="0FF5BAAC">
      <w:pPr>
        <w:keepNext w:val="0"/>
        <w:keepLines w:val="0"/>
        <w:pageBreakBefore w:val="0"/>
        <w:widowControl w:val="0"/>
        <w:kinsoku/>
        <w:wordWrap/>
        <w:overflowPunct/>
        <w:topLinePunct w:val="0"/>
        <w:autoSpaceDE/>
        <w:autoSpaceDN/>
        <w:bidi w:val="0"/>
        <w:adjustRightInd/>
        <w:snapToGrid/>
        <w:spacing w:line="590" w:lineRule="exact"/>
        <w:ind w:firstLine="600" w:firstLineChars="200"/>
        <w:jc w:val="both"/>
        <w:textAlignment w:val="auto"/>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我部门2025年末其他人员0人。包括财政拨款开支经费的人员0人；经费自理人员0人。</w:t>
      </w:r>
    </w:p>
    <w:p w14:paraId="7E1F4782">
      <w:pPr>
        <w:keepNext w:val="0"/>
        <w:keepLines w:val="0"/>
        <w:pageBreakBefore w:val="0"/>
        <w:widowControl w:val="0"/>
        <w:kinsoku/>
        <w:wordWrap/>
        <w:overflowPunct/>
        <w:topLinePunct w:val="0"/>
        <w:autoSpaceDE/>
        <w:autoSpaceDN/>
        <w:bidi w:val="0"/>
        <w:adjustRightInd/>
        <w:snapToGrid/>
        <w:spacing w:line="590" w:lineRule="exact"/>
        <w:ind w:firstLine="600" w:firstLineChars="200"/>
        <w:jc w:val="both"/>
        <w:textAlignment w:val="auto"/>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年末单位发放离退休费的离退休人员共计1人（离休1人，退休0人）。年末由养老保险基金发放养老金的离退休人员0人（离休0人，退休0人）。</w:t>
      </w:r>
    </w:p>
    <w:p w14:paraId="57EF7EF4">
      <w:pPr>
        <w:keepNext w:val="0"/>
        <w:keepLines w:val="0"/>
        <w:pageBreakBefore w:val="0"/>
        <w:widowControl w:val="0"/>
        <w:kinsoku/>
        <w:wordWrap/>
        <w:overflowPunct/>
        <w:topLinePunct w:val="0"/>
        <w:autoSpaceDE/>
        <w:autoSpaceDN/>
        <w:bidi w:val="0"/>
        <w:adjustRightInd/>
        <w:snapToGrid/>
        <w:spacing w:line="590" w:lineRule="exact"/>
        <w:ind w:firstLine="600" w:firstLineChars="200"/>
        <w:jc w:val="both"/>
        <w:textAlignment w:val="auto"/>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车辆编制0辆，在编实有车辆0辆，超编0辆。</w:t>
      </w:r>
    </w:p>
    <w:p w14:paraId="0C03B211">
      <w:pPr>
        <w:keepNext w:val="0"/>
        <w:keepLines w:val="0"/>
        <w:pageBreakBefore w:val="0"/>
        <w:numPr>
          <w:ilvl w:val="0"/>
          <w:numId w:val="0"/>
        </w:numPr>
        <w:kinsoku/>
        <w:overflowPunct/>
        <w:topLinePunct w:val="0"/>
        <w:autoSpaceDE/>
        <w:autoSpaceDN/>
        <w:bidi w:val="0"/>
        <w:adjustRightInd/>
        <w:spacing w:line="590" w:lineRule="exact"/>
        <w:ind w:firstLine="600" w:firstLineChars="200"/>
        <w:textAlignment w:val="auto"/>
        <w:outlineLvl w:val="1"/>
        <w:rPr>
          <w:rFonts w:hint="eastAsia" w:ascii="Times New Roman" w:hAnsi="Times New Roman" w:eastAsia="方正黑体_GBK" w:cs="方正黑体_GBK"/>
          <w:color w:val="000000" w:themeColor="text1"/>
          <w:sz w:val="30"/>
          <w:szCs w:val="30"/>
          <w:highlight w:val="none"/>
          <w:lang w:eastAsia="zh-CN"/>
          <w14:textFill>
            <w14:solidFill>
              <w14:schemeClr w14:val="tx1"/>
            </w14:solidFill>
          </w14:textFill>
        </w:rPr>
      </w:pPr>
      <w:r>
        <w:rPr>
          <w:rFonts w:hint="eastAsia" w:ascii="Times New Roman" w:hAnsi="Times New Roman" w:eastAsia="方正黑体_GBK" w:cs="方正黑体_GBK"/>
          <w:color w:val="000000" w:themeColor="text1"/>
          <w:sz w:val="30"/>
          <w:szCs w:val="30"/>
          <w:highlight w:val="none"/>
          <w:lang w:eastAsia="zh-CN"/>
          <w14:textFill>
            <w14:solidFill>
              <w14:schemeClr w14:val="tx1"/>
            </w14:solidFill>
          </w14:textFill>
        </w:rPr>
        <w:t>三、重点工作概述</w:t>
      </w:r>
    </w:p>
    <w:p w14:paraId="3F99C047">
      <w:pPr>
        <w:keepNext w:val="0"/>
        <w:keepLines w:val="0"/>
        <w:pageBreakBefore w:val="0"/>
        <w:widowControl w:val="0"/>
        <w:kinsoku/>
        <w:wordWrap/>
        <w:overflowPunct/>
        <w:topLinePunct w:val="0"/>
        <w:autoSpaceDE/>
        <w:autoSpaceDN/>
        <w:bidi w:val="0"/>
        <w:adjustRightInd/>
        <w:snapToGrid/>
        <w:spacing w:line="590" w:lineRule="exact"/>
        <w:ind w:firstLine="600" w:firstLineChars="200"/>
        <w:jc w:val="both"/>
        <w:textAlignment w:val="auto"/>
        <w:rPr>
          <w:rFonts w:hint="eastAsia" w:ascii="Times New Roman" w:hAnsi="Times New Roman" w:eastAsia="仿宋_GB2312" w:cs="Arial"/>
          <w:color w:val="000000" w:themeColor="text1"/>
          <w:kern w:val="0"/>
          <w:sz w:val="30"/>
          <w:szCs w:val="30"/>
          <w:highlight w:val="none"/>
          <w14:textFill>
            <w14:solidFill>
              <w14:schemeClr w14:val="tx1"/>
            </w14:solidFill>
          </w14:textFill>
        </w:rPr>
      </w:pP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完成《中共华宁县委工作纪实资料》（2022年—2024年）编印和《华宁年鉴2025》公开出版，正在编纂《华宁党史人物专辑—热血华宁》，制定《中国共产党华宁历史》第三卷（1978—2012）编纂方案及大纲，启动档案资料收集前期工作。整理上传《华宁县志》《华宁黎县志校注》及近10年综合年鉴，实现线上阅读，华宁方志馆在县图书馆免费开放；举办抗日战争暨反法西斯战争胜利80周年征文活动，收集征文32篇，指导编撰《华宁政协志》《玉溪烟草（华宁篇）》等，完成《玉溪扶贫志（华宁篇）》审改；组建15人华宁史志专家库，主办“故乡原风景—华宁县百年老照片展”，发放《中国共产党云南玉溪历史（第二卷）》70本，配合制作《红色印记、静水流深—滇中革命斗争中的机要保密工作》并在“学习强国”发布，开展“五史”“七进”宣讲50余批次3000余人。完成“华宁县西北山革命遗址修缮项目”及布展。中共华宁县委城区委区（普朝柱故居）纪念馆全年接待参观312批2584人次。完成党史研究室支部换届选举和离退休支部成立。</w:t>
      </w:r>
    </w:p>
    <w:p w14:paraId="7D04571B">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Times New Roman" w:hAnsi="Times New Roman" w:eastAsia="黑体"/>
          <w:color w:val="000000" w:themeColor="text1"/>
          <w:sz w:val="32"/>
          <w:szCs w:val="32"/>
          <w:highlight w:val="none"/>
          <w14:textFill>
            <w14:solidFill>
              <w14:schemeClr w14:val="tx1"/>
            </w14:solidFill>
          </w14:textFill>
        </w:rPr>
      </w:pPr>
      <w:r>
        <w:rPr>
          <w:rFonts w:hint="eastAsia" w:ascii="Times New Roman" w:hAnsi="Times New Roman" w:eastAsia="方正黑体_GBK" w:cs="方正黑体_GBK"/>
          <w:color w:val="000000" w:themeColor="text1"/>
          <w:sz w:val="32"/>
          <w:szCs w:val="32"/>
          <w:highlight w:val="none"/>
          <w14:textFill>
            <w14:solidFill>
              <w14:schemeClr w14:val="tx1"/>
            </w14:solidFill>
          </w14:textFill>
        </w:rPr>
        <w:t xml:space="preserve">第二部分  </w:t>
      </w:r>
      <w:r>
        <w:rPr>
          <w:rFonts w:hint="eastAsia" w:ascii="Times New Roman" w:hAnsi="Times New Roman" w:eastAsia="方正黑体_GBK" w:cs="方正黑体_GBK"/>
          <w:color w:val="000000" w:themeColor="text1"/>
          <w:sz w:val="32"/>
          <w:szCs w:val="32"/>
          <w:highlight w:val="none"/>
          <w:lang w:val="en-US" w:eastAsia="zh-CN"/>
          <w14:textFill>
            <w14:solidFill>
              <w14:schemeClr w14:val="tx1"/>
            </w14:solidFill>
          </w14:textFill>
        </w:rPr>
        <w:t>2025年度</w:t>
      </w:r>
      <w:r>
        <w:rPr>
          <w:rFonts w:hint="eastAsia" w:ascii="Times New Roman" w:hAnsi="Times New Roman" w:eastAsia="方正黑体_GBK" w:cs="方正黑体_GBK"/>
          <w:color w:val="000000" w:themeColor="text1"/>
          <w:sz w:val="32"/>
          <w:szCs w:val="32"/>
          <w:highlight w:val="none"/>
          <w14:textFill>
            <w14:solidFill>
              <w14:schemeClr w14:val="tx1"/>
            </w14:solidFill>
          </w14:textFill>
        </w:rPr>
        <w:t>部门决算表</w:t>
      </w:r>
    </w:p>
    <w:p w14:paraId="43858170">
      <w:pPr>
        <w:keepNext w:val="0"/>
        <w:keepLines w:val="0"/>
        <w:pageBreakBefore w:val="0"/>
        <w:kinsoku/>
        <w:overflowPunct/>
        <w:topLinePunct w:val="0"/>
        <w:autoSpaceDE/>
        <w:autoSpaceDN/>
        <w:bidi w:val="0"/>
        <w:adjustRightInd/>
        <w:spacing w:line="590" w:lineRule="exact"/>
        <w:ind w:firstLine="600" w:firstLineChars="200"/>
        <w:jc w:val="center"/>
        <w:textAlignment w:val="auto"/>
        <w:outlineLvl w:val="1"/>
        <w:rPr>
          <w:rFonts w:hint="eastAsia" w:ascii="方正仿宋_GBK" w:hAnsi="方正仿宋_GBK" w:eastAsia="方正仿宋_GBK" w:cs="方正仿宋_GBK"/>
          <w:color w:val="000000" w:themeColor="text1"/>
          <w:sz w:val="30"/>
          <w:szCs w:val="30"/>
          <w:highlight w:val="none"/>
          <w14:textFill>
            <w14:solidFill>
              <w14:schemeClr w14:val="tx1"/>
            </w14:solidFill>
          </w14:textFill>
        </w:rPr>
      </w:pPr>
      <w:r>
        <w:rPr>
          <w:rFonts w:hint="eastAsia" w:ascii="方正仿宋_GBK" w:hAnsi="方正仿宋_GBK" w:eastAsia="方正仿宋_GBK" w:cs="方正仿宋_GBK"/>
          <w:color w:val="000000" w:themeColor="text1"/>
          <w:sz w:val="30"/>
          <w:szCs w:val="30"/>
          <w:highlight w:val="none"/>
          <w14:textFill>
            <w14:solidFill>
              <w14:schemeClr w14:val="tx1"/>
            </w14:solidFill>
          </w14:textFill>
        </w:rPr>
        <w:t>（详见附件）</w:t>
      </w:r>
    </w:p>
    <w:p w14:paraId="3ADDAEB3">
      <w:pPr>
        <w:keepNext w:val="0"/>
        <w:keepLines w:val="0"/>
        <w:pageBreakBefore w:val="0"/>
        <w:widowControl w:val="0"/>
        <w:kinsoku/>
        <w:wordWrap/>
        <w:overflowPunct/>
        <w:topLinePunct w:val="0"/>
        <w:autoSpaceDE/>
        <w:autoSpaceDN/>
        <w:bidi w:val="0"/>
        <w:adjustRightInd/>
        <w:snapToGrid/>
        <w:spacing w:line="590" w:lineRule="exact"/>
        <w:ind w:firstLine="600" w:firstLineChars="200"/>
        <w:jc w:val="both"/>
        <w:textAlignment w:val="auto"/>
        <w:rPr>
          <w:rFonts w:hint="eastAsia" w:ascii="Times New Roman" w:hAnsi="Times New Roman" w:eastAsia="仿宋_GB2312"/>
          <w:color w:val="000000" w:themeColor="text1"/>
          <w:sz w:val="30"/>
          <w:szCs w:val="30"/>
          <w:highlight w:val="none"/>
          <w:lang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本部门2025年度没有政府性基金、国有资本经营和非财政拨款收入及支出，《政府性基金预算财政拨款收入支出决算表》《国有资本经营预算财政拨款收入支出决算表》《非财政拨款收入支出决算表》为空表。</w:t>
      </w:r>
    </w:p>
    <w:p w14:paraId="34F86818">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Times New Roman" w:hAnsi="Times New Roman" w:eastAsia="黑体"/>
          <w:color w:val="000000" w:themeColor="text1"/>
          <w:sz w:val="32"/>
          <w:szCs w:val="32"/>
          <w:highlight w:val="none"/>
          <w14:textFill>
            <w14:solidFill>
              <w14:schemeClr w14:val="tx1"/>
            </w14:solidFill>
          </w14:textFill>
        </w:rPr>
      </w:pPr>
      <w:r>
        <w:rPr>
          <w:rFonts w:hint="eastAsia" w:ascii="Times New Roman" w:hAnsi="Times New Roman" w:eastAsia="方正黑体_GBK" w:cs="方正黑体_GBK"/>
          <w:color w:val="000000" w:themeColor="text1"/>
          <w:sz w:val="32"/>
          <w:szCs w:val="32"/>
          <w:highlight w:val="none"/>
          <w14:textFill>
            <w14:solidFill>
              <w14:schemeClr w14:val="tx1"/>
            </w14:solidFill>
          </w14:textFill>
        </w:rPr>
        <w:t>第三部</w:t>
      </w:r>
      <w:r>
        <w:rPr>
          <w:rFonts w:hint="eastAsia" w:ascii="Times New Roman" w:hAnsi="Times New Roman" w:eastAsia="方正黑体_GBK" w:cs="方正黑体_GBK"/>
          <w:color w:val="000000" w:themeColor="text1"/>
          <w:sz w:val="32"/>
          <w:szCs w:val="32"/>
          <w:highlight w:val="none"/>
          <w:lang w:eastAsia="zh-CN"/>
          <w14:textFill>
            <w14:solidFill>
              <w14:schemeClr w14:val="tx1"/>
            </w14:solidFill>
          </w14:textFill>
        </w:rPr>
        <w:t>分</w:t>
      </w:r>
      <w:r>
        <w:rPr>
          <w:rFonts w:hint="eastAsia" w:ascii="Times New Roman" w:hAnsi="Times New Roman" w:eastAsia="方正黑体_GBK" w:cs="方正黑体_GBK"/>
          <w:color w:val="000000" w:themeColor="text1"/>
          <w:sz w:val="32"/>
          <w:szCs w:val="32"/>
          <w:highlight w:val="none"/>
          <w14:textFill>
            <w14:solidFill>
              <w14:schemeClr w14:val="tx1"/>
            </w14:solidFill>
          </w14:textFill>
        </w:rPr>
        <w:t xml:space="preserve">  </w:t>
      </w:r>
      <w:r>
        <w:rPr>
          <w:rFonts w:hint="eastAsia" w:ascii="Times New Roman" w:hAnsi="Times New Roman" w:eastAsia="方正黑体_GBK" w:cs="方正黑体_GBK"/>
          <w:color w:val="000000" w:themeColor="text1"/>
          <w:sz w:val="32"/>
          <w:szCs w:val="32"/>
          <w:highlight w:val="none"/>
          <w:lang w:val="en-US" w:eastAsia="zh-CN"/>
          <w14:textFill>
            <w14:solidFill>
              <w14:schemeClr w14:val="tx1"/>
            </w14:solidFill>
          </w14:textFill>
        </w:rPr>
        <w:t>2025年度</w:t>
      </w:r>
      <w:r>
        <w:rPr>
          <w:rFonts w:hint="eastAsia" w:ascii="Times New Roman" w:hAnsi="Times New Roman" w:eastAsia="方正黑体_GBK" w:cs="方正黑体_GBK"/>
          <w:color w:val="000000" w:themeColor="text1"/>
          <w:sz w:val="32"/>
          <w:szCs w:val="32"/>
          <w:highlight w:val="none"/>
          <w14:textFill>
            <w14:solidFill>
              <w14:schemeClr w14:val="tx1"/>
            </w14:solidFill>
          </w14:textFill>
        </w:rPr>
        <w:t>部门决算情况说明</w:t>
      </w:r>
    </w:p>
    <w:p w14:paraId="58750840">
      <w:pPr>
        <w:keepNext w:val="0"/>
        <w:keepLines w:val="0"/>
        <w:pageBreakBefore w:val="0"/>
        <w:numPr>
          <w:ilvl w:val="0"/>
          <w:numId w:val="0"/>
        </w:numPr>
        <w:kinsoku/>
        <w:overflowPunct/>
        <w:topLinePunct w:val="0"/>
        <w:autoSpaceDE/>
        <w:autoSpaceDN/>
        <w:bidi w:val="0"/>
        <w:adjustRightInd/>
        <w:spacing w:line="590" w:lineRule="exact"/>
        <w:ind w:firstLine="600" w:firstLineChars="200"/>
        <w:textAlignment w:val="auto"/>
        <w:outlineLvl w:val="1"/>
        <w:rPr>
          <w:rFonts w:hint="eastAsia" w:ascii="Times New Roman" w:hAnsi="Times New Roman" w:eastAsia="方正黑体_GBK" w:cs="方正黑体_GBK"/>
          <w:color w:val="000000" w:themeColor="text1"/>
          <w:sz w:val="30"/>
          <w:szCs w:val="30"/>
          <w:highlight w:val="none"/>
          <w:lang w:eastAsia="zh-CN"/>
          <w14:textFill>
            <w14:solidFill>
              <w14:schemeClr w14:val="tx1"/>
            </w14:solidFill>
          </w14:textFill>
        </w:rPr>
      </w:pPr>
      <w:r>
        <w:rPr>
          <w:rFonts w:hint="eastAsia" w:ascii="Times New Roman" w:hAnsi="Times New Roman" w:eastAsia="方正黑体_GBK" w:cs="方正黑体_GBK"/>
          <w:color w:val="000000" w:themeColor="text1"/>
          <w:sz w:val="30"/>
          <w:szCs w:val="30"/>
          <w:highlight w:val="none"/>
          <w:lang w:eastAsia="zh-CN"/>
          <w14:textFill>
            <w14:solidFill>
              <w14:schemeClr w14:val="tx1"/>
            </w14:solidFill>
          </w14:textFill>
        </w:rPr>
        <w:t>一、收入决算情况说明</w:t>
      </w:r>
    </w:p>
    <w:p w14:paraId="2DBFE8AF">
      <w:pPr>
        <w:keepNext w:val="0"/>
        <w:keepLines w:val="0"/>
        <w:pageBreakBefore w:val="0"/>
        <w:widowControl w:val="0"/>
        <w:kinsoku/>
        <w:wordWrap/>
        <w:overflowPunct/>
        <w:topLinePunct w:val="0"/>
        <w:autoSpaceDE/>
        <w:autoSpaceDN/>
        <w:bidi w:val="0"/>
        <w:adjustRightInd/>
        <w:snapToGrid/>
        <w:spacing w:line="590" w:lineRule="exact"/>
        <w:ind w:firstLine="600" w:firstLineChars="200"/>
        <w:jc w:val="both"/>
        <w:textAlignment w:val="auto"/>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中国共产党华宁县委员会党史研究室</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2025年度收入合计</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1688963.57</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元。其中：财政拨款收入</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1688963.57</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元，占总收入的</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100.00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%；上级补助收入</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元，占总收入的</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%；事业收入</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元（含教育收费</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元），占总收入的</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%；经营收入</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元，占总收入的</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%；附属单位上缴收入</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元，占总收入的</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%；其他收入</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元，占总收入的</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w:t>
      </w:r>
    </w:p>
    <w:p w14:paraId="0B1A787F">
      <w:pPr>
        <w:keepNext w:val="0"/>
        <w:keepLines w:val="0"/>
        <w:pageBreakBefore w:val="0"/>
        <w:widowControl w:val="0"/>
        <w:kinsoku/>
        <w:wordWrap/>
        <w:overflowPunct/>
        <w:topLinePunct w:val="0"/>
        <w:autoSpaceDE/>
        <w:autoSpaceDN/>
        <w:bidi w:val="0"/>
        <w:adjustRightInd/>
        <w:snapToGrid/>
        <w:spacing w:line="590" w:lineRule="exact"/>
        <w:ind w:firstLine="600" w:firstLineChars="200"/>
        <w:jc w:val="both"/>
        <w:textAlignment w:val="auto"/>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与上年相比，收入合计增加511320.75元，增长43.42%。其中：财政拨款收入增加519895.93元，增长44.47%；上级补助收入增加0.00元，增长0.00%；事业收入增加0.00元，增长0.00%；经营收入增加0.00元，增长0.00%；附属单位上缴收入增加0.00元，增长0.00%；其他收入增加8575.18元，</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下降</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100.00%。主要原因是由于</w:t>
      </w:r>
      <w:r>
        <w:rPr>
          <w:rFonts w:hint="default" w:ascii="Times New Roman" w:hAnsi="Times New Roman" w:eastAsia="方正仿宋_GBK" w:cs="方正仿宋_GBK"/>
          <w:color w:val="000000" w:themeColor="text1"/>
          <w:sz w:val="30"/>
          <w:szCs w:val="30"/>
          <w:lang w:val="zh-CN" w:eastAsia="zh-CN"/>
          <w14:textFill>
            <w14:solidFill>
              <w14:schemeClr w14:val="tx1"/>
            </w14:solidFill>
          </w14:textFill>
        </w:rPr>
        <w:t>人员</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增加</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1人并拨付往年项目建设资金收入</w:t>
      </w:r>
      <w:r>
        <w:rPr>
          <w:rFonts w:hint="default" w:ascii="Times New Roman" w:hAnsi="Times New Roman" w:eastAsia="方正仿宋_GBK" w:cs="方正仿宋_GBK"/>
          <w:color w:val="000000" w:themeColor="text1"/>
          <w:sz w:val="30"/>
          <w:szCs w:val="30"/>
          <w:lang w:val="en-US" w:eastAsia="zh-CN"/>
          <w14:textFill>
            <w14:solidFill>
              <w14:schemeClr w14:val="tx1"/>
            </w14:solidFill>
          </w14:textFill>
        </w:rPr>
        <w:t>。</w:t>
      </w:r>
    </w:p>
    <w:p w14:paraId="743E467B">
      <w:pPr>
        <w:keepNext w:val="0"/>
        <w:keepLines w:val="0"/>
        <w:pageBreakBefore w:val="0"/>
        <w:kinsoku/>
        <w:overflowPunct/>
        <w:topLinePunct w:val="0"/>
        <w:autoSpaceDE/>
        <w:autoSpaceDN/>
        <w:bidi w:val="0"/>
        <w:adjustRightInd/>
        <w:spacing w:line="590" w:lineRule="exact"/>
        <w:ind w:firstLine="600" w:firstLineChars="200"/>
        <w:jc w:val="left"/>
        <w:textAlignment w:val="auto"/>
        <w:outlineLvl w:val="1"/>
        <w:rPr>
          <w:rFonts w:hint="eastAsia" w:ascii="Times New Roman" w:hAnsi="Times New Roman" w:eastAsia="黑体"/>
          <w:color w:val="000000" w:themeColor="text1"/>
          <w:sz w:val="30"/>
          <w:szCs w:val="30"/>
          <w:highlight w:val="none"/>
          <w14:textFill>
            <w14:solidFill>
              <w14:schemeClr w14:val="tx1"/>
            </w14:solidFill>
          </w14:textFill>
        </w:rPr>
      </w:pPr>
      <w:r>
        <w:rPr>
          <w:rFonts w:hint="eastAsia" w:ascii="Times New Roman" w:hAnsi="Times New Roman" w:eastAsia="方正黑体_GBK" w:cs="方正黑体_GBK"/>
          <w:color w:val="000000" w:themeColor="text1"/>
          <w:sz w:val="30"/>
          <w:szCs w:val="30"/>
          <w:highlight w:val="none"/>
          <w:lang w:eastAsia="zh-CN"/>
          <w14:textFill>
            <w14:solidFill>
              <w14:schemeClr w14:val="tx1"/>
            </w14:solidFill>
          </w14:textFill>
        </w:rPr>
        <w:t>二、支出决算情况说明</w:t>
      </w:r>
    </w:p>
    <w:p w14:paraId="73BA2567">
      <w:pPr>
        <w:keepNext w:val="0"/>
        <w:keepLines w:val="0"/>
        <w:pageBreakBefore w:val="0"/>
        <w:widowControl w:val="0"/>
        <w:kinsoku/>
        <w:wordWrap/>
        <w:overflowPunct/>
        <w:topLinePunct w:val="0"/>
        <w:autoSpaceDE/>
        <w:autoSpaceDN/>
        <w:bidi w:val="0"/>
        <w:adjustRightInd/>
        <w:snapToGrid/>
        <w:spacing w:line="590" w:lineRule="exact"/>
        <w:ind w:firstLine="600" w:firstLineChars="200"/>
        <w:jc w:val="both"/>
        <w:textAlignment w:val="auto"/>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中国共产党华宁县委员会党史研究室</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2025年度</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支出合计1688963.57元。其中：基本支出1594663.57元，占总支出的94.42％；项目支出94300.00元，占总支出的5.58％；上缴上级支出0.00元，占总支出的0.00％；经营支出0.00元，占总支出的0.00％；对附属单位补助支出0.00元，占总支出的0.00％。</w:t>
      </w:r>
    </w:p>
    <w:p w14:paraId="23613CE4">
      <w:pPr>
        <w:keepNext w:val="0"/>
        <w:keepLines w:val="0"/>
        <w:pageBreakBefore w:val="0"/>
        <w:widowControl w:val="0"/>
        <w:kinsoku/>
        <w:wordWrap/>
        <w:overflowPunct/>
        <w:topLinePunct w:val="0"/>
        <w:autoSpaceDE/>
        <w:autoSpaceDN/>
        <w:bidi w:val="0"/>
        <w:adjustRightInd/>
        <w:snapToGrid/>
        <w:spacing w:line="590" w:lineRule="exact"/>
        <w:ind w:firstLine="600" w:firstLineChars="200"/>
        <w:jc w:val="both"/>
        <w:textAlignment w:val="auto"/>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与上年相比，支出合计增加511320.75元，增长43.42%。其中：基本支出增加425595.93元，增长36.40%；项目支出增加85724.82元，增长999.69%；上缴上级支出增加0.00元，增长0.00%；经营支出增加0.00元，增长0.00%；对附属单位补助支出增加0.00元，增长0.00%。主要原因是由于</w:t>
      </w:r>
      <w:r>
        <w:rPr>
          <w:rFonts w:hint="default" w:ascii="Times New Roman" w:hAnsi="Times New Roman" w:eastAsia="方正仿宋_GBK" w:cs="方正仿宋_GBK"/>
          <w:color w:val="000000" w:themeColor="text1"/>
          <w:sz w:val="30"/>
          <w:szCs w:val="30"/>
          <w:lang w:val="zh-CN" w:eastAsia="zh-CN"/>
          <w14:textFill>
            <w14:solidFill>
              <w14:schemeClr w14:val="tx1"/>
            </w14:solidFill>
          </w14:textFill>
        </w:rPr>
        <w:t>人员</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增加</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1人并拨付支出往年项目资金</w:t>
      </w:r>
      <w:r>
        <w:rPr>
          <w:rFonts w:hint="default" w:ascii="Times New Roman" w:hAnsi="Times New Roman" w:eastAsia="方正仿宋_GBK" w:cs="方正仿宋_GBK"/>
          <w:color w:val="000000" w:themeColor="text1"/>
          <w:sz w:val="30"/>
          <w:szCs w:val="30"/>
          <w:lang w:val="en-US" w:eastAsia="zh-CN"/>
          <w14:textFill>
            <w14:solidFill>
              <w14:schemeClr w14:val="tx1"/>
            </w14:solidFill>
          </w14:textFill>
        </w:rPr>
        <w:t>。</w:t>
      </w:r>
    </w:p>
    <w:p w14:paraId="3488471E">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outlineLvl w:val="2"/>
        <w:rPr>
          <w:rFonts w:hint="eastAsia" w:ascii="方正楷体_GBK" w:hAnsi="方正楷体_GBK" w:eastAsia="方正楷体_GBK" w:cs="方正楷体_GBK"/>
          <w:color w:val="000000" w:themeColor="text1"/>
          <w:sz w:val="30"/>
          <w:szCs w:val="30"/>
          <w:highlight w:val="none"/>
          <w:lang w:eastAsia="zh-CN"/>
          <w14:textFill>
            <w14:solidFill>
              <w14:schemeClr w14:val="tx1"/>
            </w14:solidFill>
          </w14:textFill>
        </w:rPr>
      </w:pPr>
      <w:r>
        <w:rPr>
          <w:rFonts w:hint="eastAsia" w:ascii="方正楷体_GBK" w:hAnsi="方正楷体_GBK" w:eastAsia="方正楷体_GBK" w:cs="方正楷体_GBK"/>
          <w:color w:val="000000" w:themeColor="text1"/>
          <w:sz w:val="30"/>
          <w:szCs w:val="30"/>
          <w:highlight w:val="none"/>
          <w:lang w:eastAsia="zh-CN"/>
          <w14:textFill>
            <w14:solidFill>
              <w14:schemeClr w14:val="tx1"/>
            </w14:solidFill>
          </w14:textFill>
        </w:rPr>
        <w:t>（一）基本支出情况</w:t>
      </w:r>
    </w:p>
    <w:p w14:paraId="7BA808FF">
      <w:pPr>
        <w:keepNext w:val="0"/>
        <w:keepLines w:val="0"/>
        <w:pageBreakBefore w:val="0"/>
        <w:widowControl w:val="0"/>
        <w:kinsoku/>
        <w:wordWrap/>
        <w:overflowPunct/>
        <w:topLinePunct w:val="0"/>
        <w:autoSpaceDE/>
        <w:autoSpaceDN/>
        <w:bidi w:val="0"/>
        <w:adjustRightInd/>
        <w:snapToGrid/>
        <w:spacing w:line="590" w:lineRule="exact"/>
        <w:ind w:firstLine="600" w:firstLineChars="200"/>
        <w:jc w:val="both"/>
        <w:textAlignment w:val="auto"/>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2025年度</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用于保障中国共产党华宁县委员会党史研究室机关、下属事业单位等机构正常运转的日常支出1594663.57元。其中：基本工资、津贴补贴等人员经费支出1509757.52元，占基本支出的94.68％；办公费、印刷费、水电费、办公设备购置等公用经费84906.05元，占基本支出的5.32％。</w:t>
      </w:r>
    </w:p>
    <w:p w14:paraId="651FC4B8">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outlineLvl w:val="2"/>
        <w:rPr>
          <w:rFonts w:hint="eastAsia" w:ascii="方正楷体_GBK" w:hAnsi="方正楷体_GBK" w:eastAsia="方正楷体_GBK" w:cs="方正楷体_GBK"/>
          <w:color w:val="000000" w:themeColor="text1"/>
          <w:sz w:val="30"/>
          <w:szCs w:val="30"/>
          <w:highlight w:val="none"/>
          <w:lang w:eastAsia="zh-CN"/>
          <w14:textFill>
            <w14:solidFill>
              <w14:schemeClr w14:val="tx1"/>
            </w14:solidFill>
          </w14:textFill>
        </w:rPr>
      </w:pPr>
      <w:r>
        <w:rPr>
          <w:rFonts w:hint="eastAsia" w:ascii="方正楷体_GBK" w:hAnsi="方正楷体_GBK" w:eastAsia="方正楷体_GBK" w:cs="方正楷体_GBK"/>
          <w:color w:val="000000" w:themeColor="text1"/>
          <w:sz w:val="30"/>
          <w:szCs w:val="30"/>
          <w:highlight w:val="none"/>
          <w:lang w:eastAsia="zh-CN"/>
          <w14:textFill>
            <w14:solidFill>
              <w14:schemeClr w14:val="tx1"/>
            </w14:solidFill>
          </w14:textFill>
        </w:rPr>
        <w:t>（二）项目支出情况</w:t>
      </w:r>
    </w:p>
    <w:p w14:paraId="28DD423F">
      <w:pPr>
        <w:keepNext w:val="0"/>
        <w:keepLines w:val="0"/>
        <w:pageBreakBefore w:val="0"/>
        <w:widowControl w:val="0"/>
        <w:kinsoku/>
        <w:wordWrap/>
        <w:overflowPunct/>
        <w:topLinePunct w:val="0"/>
        <w:autoSpaceDE/>
        <w:autoSpaceDN/>
        <w:bidi w:val="0"/>
        <w:adjustRightInd/>
        <w:snapToGrid/>
        <w:spacing w:line="590" w:lineRule="exact"/>
        <w:ind w:firstLine="600" w:firstLineChars="200"/>
        <w:jc w:val="both"/>
        <w:textAlignment w:val="auto"/>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2025年度用于保障</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中国共产党华宁县委员会党史研究室</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机关、下属事业单位等机构为完成特定的行政工作任务或事业发展目标，用于专项业务工作的经费支出</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94300.00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元。其中：基本建设类项目支出</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元。</w:t>
      </w:r>
    </w:p>
    <w:p w14:paraId="3C8C230A">
      <w:pPr>
        <w:keepNext w:val="0"/>
        <w:keepLines w:val="0"/>
        <w:pageBreakBefore w:val="0"/>
        <w:widowControl w:val="0"/>
        <w:kinsoku/>
        <w:wordWrap/>
        <w:overflowPunct/>
        <w:topLinePunct w:val="0"/>
        <w:autoSpaceDE/>
        <w:autoSpaceDN/>
        <w:bidi w:val="0"/>
        <w:adjustRightInd/>
        <w:snapToGrid/>
        <w:spacing w:line="590" w:lineRule="exact"/>
        <w:ind w:firstLine="600" w:firstLineChars="200"/>
        <w:jc w:val="both"/>
        <w:textAlignment w:val="auto"/>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《华宁年鉴2023》项目经费10050.00元，主要用于支付项目服务款项。</w:t>
      </w:r>
    </w:p>
    <w:p w14:paraId="6F2547E8">
      <w:pPr>
        <w:keepNext w:val="0"/>
        <w:keepLines w:val="0"/>
        <w:pageBreakBefore w:val="0"/>
        <w:widowControl w:val="0"/>
        <w:kinsoku/>
        <w:wordWrap/>
        <w:overflowPunct/>
        <w:topLinePunct w:val="0"/>
        <w:autoSpaceDE/>
        <w:autoSpaceDN/>
        <w:bidi w:val="0"/>
        <w:adjustRightInd/>
        <w:snapToGrid/>
        <w:spacing w:line="590" w:lineRule="exact"/>
        <w:ind w:firstLine="600" w:firstLineChars="200"/>
        <w:jc w:val="both"/>
        <w:textAlignment w:val="auto"/>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《华宁年鉴2024》项目经费74250.00元，主要用于支付项目服务款项。</w:t>
      </w:r>
    </w:p>
    <w:p w14:paraId="7614BDB4">
      <w:pPr>
        <w:keepNext w:val="0"/>
        <w:keepLines w:val="0"/>
        <w:pageBreakBefore w:val="0"/>
        <w:widowControl w:val="0"/>
        <w:kinsoku/>
        <w:wordWrap/>
        <w:overflowPunct/>
        <w:topLinePunct w:val="0"/>
        <w:autoSpaceDE/>
        <w:autoSpaceDN/>
        <w:bidi w:val="0"/>
        <w:adjustRightInd/>
        <w:snapToGrid/>
        <w:spacing w:line="590" w:lineRule="exact"/>
        <w:ind w:firstLine="600" w:firstLineChars="200"/>
        <w:jc w:val="both"/>
        <w:textAlignment w:val="auto"/>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中共华宁县委 城区区委（普朝柱故居）民族团结建设项目经费10000.00元，主要用于支付中共华宁县委 城区区委（普朝柱故居）民族团结项目建设。</w:t>
      </w:r>
    </w:p>
    <w:p w14:paraId="42028C59">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outlineLvl w:val="1"/>
        <w:rPr>
          <w:rFonts w:hint="eastAsia" w:ascii="Times New Roman" w:hAnsi="Times New Roman" w:eastAsia="黑体"/>
          <w:color w:val="000000" w:themeColor="text1"/>
          <w:sz w:val="30"/>
          <w:szCs w:val="30"/>
          <w:highlight w:val="none"/>
          <w14:textFill>
            <w14:solidFill>
              <w14:schemeClr w14:val="tx1"/>
            </w14:solidFill>
          </w14:textFill>
        </w:rPr>
      </w:pPr>
      <w:r>
        <w:rPr>
          <w:rFonts w:hint="eastAsia" w:ascii="Times New Roman" w:hAnsi="Times New Roman" w:eastAsia="方正黑体_GBK" w:cs="方正黑体_GBK"/>
          <w:color w:val="000000" w:themeColor="text1"/>
          <w:sz w:val="30"/>
          <w:szCs w:val="30"/>
          <w:highlight w:val="none"/>
          <w:lang w:eastAsia="zh-CN"/>
          <w14:textFill>
            <w14:solidFill>
              <w14:schemeClr w14:val="tx1"/>
            </w14:solidFill>
          </w14:textFill>
        </w:rPr>
        <w:t>三、一般公共预算财政拨款支出决算情况说明</w:t>
      </w:r>
    </w:p>
    <w:p w14:paraId="435CC47F">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outlineLvl w:val="2"/>
        <w:rPr>
          <w:rFonts w:hint="eastAsia" w:ascii="方正楷体_GBK" w:hAnsi="方正楷体_GBK" w:eastAsia="方正楷体_GBK" w:cs="方正楷体_GBK"/>
          <w:color w:val="000000" w:themeColor="text1"/>
          <w:sz w:val="30"/>
          <w:szCs w:val="30"/>
          <w:highlight w:val="none"/>
          <w:lang w:eastAsia="zh-CN"/>
          <w14:textFill>
            <w14:solidFill>
              <w14:schemeClr w14:val="tx1"/>
            </w14:solidFill>
          </w14:textFill>
        </w:rPr>
      </w:pPr>
      <w:r>
        <w:rPr>
          <w:rFonts w:hint="eastAsia" w:ascii="方正楷体_GBK" w:hAnsi="方正楷体_GBK" w:eastAsia="方正楷体_GBK" w:cs="方正楷体_GBK"/>
          <w:color w:val="000000" w:themeColor="text1"/>
          <w:sz w:val="30"/>
          <w:szCs w:val="30"/>
          <w:highlight w:val="none"/>
          <w:lang w:eastAsia="zh-CN"/>
          <w14:textFill>
            <w14:solidFill>
              <w14:schemeClr w14:val="tx1"/>
            </w14:solidFill>
          </w14:textFill>
        </w:rPr>
        <w:t>（一）一般公共预算财政拨款支出决算总体情况</w:t>
      </w:r>
    </w:p>
    <w:p w14:paraId="47D5F00F">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rPr>
          <w:rFonts w:hint="eastAsia" w:ascii="Times New Roman" w:hAnsi="Times New Roman" w:eastAsia="仿宋_GB2312" w:cs="Arial"/>
          <w:color w:val="000000" w:themeColor="text1"/>
          <w:kern w:val="0"/>
          <w:sz w:val="30"/>
          <w:szCs w:val="30"/>
          <w:highlight w:val="none"/>
          <w14:textFill>
            <w14:solidFill>
              <w14:schemeClr w14:val="tx1"/>
            </w14:solidFill>
          </w14:textFill>
        </w:rPr>
      </w:pP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中国共产党华宁县委员会党史研究室</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2025年度一般公共预算财政拨款支出</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1688963.57</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元,占本年支出合计的</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100.00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%。与上年相比增加</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519895.93</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元，增长</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44.47</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%,完成年初预算的</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127.71</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w:t>
      </w:r>
    </w:p>
    <w:p w14:paraId="3457A358">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outlineLvl w:val="2"/>
        <w:rPr>
          <w:rFonts w:hint="eastAsia" w:ascii="Times New Roman" w:hAnsi="Times New Roman" w:eastAsia="楷体"/>
          <w:color w:val="000000" w:themeColor="text1"/>
          <w:sz w:val="30"/>
          <w:szCs w:val="30"/>
          <w:highlight w:val="none"/>
          <w14:textFill>
            <w14:solidFill>
              <w14:schemeClr w14:val="tx1"/>
            </w14:solidFill>
          </w14:textFill>
        </w:rPr>
      </w:pPr>
      <w:r>
        <w:rPr>
          <w:rFonts w:hint="eastAsia" w:ascii="方正楷体_GBK" w:hAnsi="方正楷体_GBK" w:eastAsia="方正楷体_GBK" w:cs="方正楷体_GBK"/>
          <w:color w:val="000000" w:themeColor="text1"/>
          <w:sz w:val="30"/>
          <w:szCs w:val="30"/>
          <w:highlight w:val="none"/>
          <w:lang w:eastAsia="zh-CN"/>
          <w14:textFill>
            <w14:solidFill>
              <w14:schemeClr w14:val="tx1"/>
            </w14:solidFill>
          </w14:textFill>
        </w:rPr>
        <w:t>（二）一般公共预算财政拨款支出决算分功能分类科目情况</w:t>
      </w:r>
      <w:r>
        <w:rPr>
          <w:rFonts w:hint="eastAsia" w:ascii="Times New Roman" w:hAnsi="Times New Roman" w:eastAsia="楷体"/>
          <w:color w:val="000000" w:themeColor="text1"/>
          <w:sz w:val="30"/>
          <w:szCs w:val="30"/>
          <w:highlight w:val="none"/>
          <w14:textFill>
            <w14:solidFill>
              <w14:schemeClr w14:val="tx1"/>
            </w14:solidFill>
          </w14:textFill>
        </w:rPr>
        <w:tab/>
      </w:r>
    </w:p>
    <w:p w14:paraId="11E01A76">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1.一般公共服务（类）支出1062308.01元，占一般公共预算财政拨款总支出的62.90%,完成年初预算的136.17</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；主要用于人员工资支出；造成预决算差异的主要原因是人员增加</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1人</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w:t>
      </w:r>
    </w:p>
    <w:p w14:paraId="5E0120D7">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2.外交（类）支出0.00元，占一般公共预算财政拨款总支出的0.00%,完成年初预算的0.00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中国共产党华宁县委员会党史研究室年初无此项预算。</w:t>
      </w:r>
    </w:p>
    <w:p w14:paraId="6A869431">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3.国防（类）支出0.00元，占一般公共预算财政拨款总支出的0.00%,完成年初预算的0.00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中国共产党华宁县委员会党史研究室年初无此项预算。</w:t>
      </w:r>
    </w:p>
    <w:p w14:paraId="4BEB26DE">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4.公共安全（类）支出0.00元，占一般公共预算财政拨款总支出的0.00%,完成年初预算的0.00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中国共产党华宁县委员会党史研究室年初无此项预算。</w:t>
      </w:r>
    </w:p>
    <w:p w14:paraId="723E6055">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5.教育（类）支出0.00元，占一般公共预算财政拨款总支出的0.00%</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,完成年初预算的0.00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中国共产党华宁县委员会党史研究室年初无此项预算。</w:t>
      </w:r>
    </w:p>
    <w:p w14:paraId="748ED222">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6.科学技术（类）支出0.00元，占一般公共预算财政拨款总支出的0.00%</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,完成年初预算的0.00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中国共产党华宁县委员会党史研究室年初无此项预算。</w:t>
      </w:r>
    </w:p>
    <w:p w14:paraId="0F0D07AC">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7.文化旅游体育与传媒（类）支出0.00元，占一般公共预算财政拨款总支出的0.00%</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,完成年初预算的0.00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中国共产党华宁县委员会党史研究室年初无此项预算。</w:t>
      </w:r>
    </w:p>
    <w:p w14:paraId="23F26BB2">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8.社会保障和就业（类）支出353082.38元，占一般公共预算财政拨款总支出的20.91%</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,完成年初预算的115.26</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主要用于人员社会保障费用支出；造成预决算差异的主要原因是人员调动增减。</w:t>
      </w:r>
    </w:p>
    <w:p w14:paraId="24A861F1">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9.卫生健康（类）支出</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154096.18元，占一般公共预算财政拨款总支出的9.12%,完成年初预算的104.87</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主要用于人员卫生健康费用支出；造成预决算差异的主要原因是人员调动增减。</w:t>
      </w:r>
    </w:p>
    <w:p w14:paraId="5F6C7A02">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10.节能环保（类）支出</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0.00元，占一般公共预算财政拨款总支出的0.00%,完成年初预算的0.00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中国共产党华宁县委员会党史研究室年初无此项预算。</w:t>
      </w:r>
    </w:p>
    <w:p w14:paraId="63E6E982">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11.城乡社区（类）支出</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0.00元，占一般公共预算财政拨款总支出的0.00%,完成年初预算的0.00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中国共产党华宁县委员会党史研究室年初无此项预算。</w:t>
      </w:r>
    </w:p>
    <w:p w14:paraId="44F507C6">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12.农林水（类）支出</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0.00元，占一般公共预算财政拨款总支出的0.00%,完成年初预算的0.00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中国共产党华宁县委员会党史研究室年初无此项预算。</w:t>
      </w:r>
    </w:p>
    <w:p w14:paraId="155615C3">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13.交通运输（类）支出</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0.00元，占一般公共预算财政拨款总支出的0.00%,完成年初预算的0.00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中国共产党华宁县委员会党史研究室年初无此项预算。</w:t>
      </w:r>
    </w:p>
    <w:p w14:paraId="6D5AEF7D">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14.资源勘探工业信息等（类）支出</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0.00元，占一般公共预算财政拨款总支出的0.00%,完成年初预算的0.00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中国共产党华宁县委员会党史研究室年初无此项预算。</w:t>
      </w:r>
    </w:p>
    <w:p w14:paraId="3A655570">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15.商业服务业等（类）支出</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0.00元，占一般公共预算财政拨款总支出的0.00%,完成年初预算的0.00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中国共产党华宁县委员会党史研究室年初无此项预算。</w:t>
      </w:r>
    </w:p>
    <w:p w14:paraId="4F55AA8F">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16.金融（类）支出</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0.00元，占一般公共预算财政拨款总支出的0.00%,完成年初预算的0.00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中国共产党华宁县委员会党史研究室年初无此项预算。</w:t>
      </w:r>
    </w:p>
    <w:p w14:paraId="5594264A">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17.援助其他地区（类）支出</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0.00元，占一般公共预算财政拨款总支出的0.00%,完成年初预算的0.00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中国共产党华宁县委员会党史研究室年初无此项预算。</w:t>
      </w:r>
    </w:p>
    <w:p w14:paraId="1E67DAA7">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18.自然资源海洋气象等（类）支出</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0.00元，占一般公共预算财政拨款总支出的0.00%,完成年初预算的0.00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中国共产党华宁县委员会党史研究室年初无此项预算。</w:t>
      </w:r>
    </w:p>
    <w:p w14:paraId="3DA73406">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19.住房保障（类）支出</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119477.00元，占一般公共预算财政拨款总支出的7.07%,完成年初预算的134.11</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主要用于人员住房保障费用支出；造成预决算差异的主要原因是人员调动增减。</w:t>
      </w:r>
    </w:p>
    <w:p w14:paraId="5FB70350">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20.粮油物资储备（类）支出</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0.00元，占一般公共预算财政拨款总支出的0.00%,完成年初预算的0.00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中国共产党华宁县委员会党史研究室年初无此项预算。</w:t>
      </w:r>
    </w:p>
    <w:p w14:paraId="03C017B4">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21.国有资本经营预算（类）支出</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0.00元，占一般公共预算财政拨款总支出的0.00%,完成年初预算的0.00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中国共产党华宁县委员会党史研究室年初无此项预算。</w:t>
      </w:r>
    </w:p>
    <w:p w14:paraId="0CDCBC7F">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22.灾害防治及应急管理（类）支出</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0.00元，占一般公共预算财政拨款总支出的0.00%,完成年初预算的0.00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中国共产党华宁县委员会党史研究室年初无此项预算。</w:t>
      </w:r>
    </w:p>
    <w:p w14:paraId="5DF31D8D">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23.其他（类）支出</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0.00元，占一般公共预算财政拨款总支出的0.00%,完成年初预算的0.00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中国共产党华宁县委员会党史研究室年初无此项预算。</w:t>
      </w:r>
    </w:p>
    <w:p w14:paraId="7EC96FDD">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24.债务还本（类）支出</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0.00元，占一般公共预算财政拨款总支出的0.00%,完成年初预算的0.00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中国共产党华宁县委员会党史研究室年初无此项预算。</w:t>
      </w:r>
    </w:p>
    <w:p w14:paraId="0937C03B">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25.债务付息（类）支出</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0.00元，占一般公共预算财政拨款总支出的0.00%,完成年初预算的0.00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中国共产党华宁县委员会党史研究室年初无此项预算。</w:t>
      </w:r>
    </w:p>
    <w:p w14:paraId="186A68DE">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26.抗疫特别国债安排（类）支出</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0.00元，占一般公共预算财政拨款总支出的0.00%,完成年初预算的0.00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中国共产党华宁县委员会党史研究室年初无此项预算。</w:t>
      </w:r>
    </w:p>
    <w:p w14:paraId="480F0DB3">
      <w:pPr>
        <w:keepNext w:val="0"/>
        <w:keepLines w:val="0"/>
        <w:pageBreakBefore w:val="0"/>
        <w:widowControl/>
        <w:numPr>
          <w:ilvl w:val="0"/>
          <w:numId w:val="0"/>
        </w:numPr>
        <w:kinsoku/>
        <w:overflowPunct/>
        <w:topLinePunct w:val="0"/>
        <w:autoSpaceDE/>
        <w:autoSpaceDN/>
        <w:bidi w:val="0"/>
        <w:adjustRightInd/>
        <w:snapToGrid w:val="0"/>
        <w:spacing w:line="590" w:lineRule="exact"/>
        <w:ind w:firstLine="600" w:firstLineChars="200"/>
        <w:jc w:val="left"/>
        <w:textAlignment w:val="auto"/>
        <w:outlineLvl w:val="1"/>
        <w:rPr>
          <w:rFonts w:hint="eastAsia" w:ascii="Times New Roman" w:hAnsi="Times New Roman" w:eastAsia="黑体"/>
          <w:color w:val="000000" w:themeColor="text1"/>
          <w:sz w:val="30"/>
          <w:szCs w:val="30"/>
          <w:highlight w:val="none"/>
          <w14:textFill>
            <w14:solidFill>
              <w14:schemeClr w14:val="tx1"/>
            </w14:solidFill>
          </w14:textFill>
        </w:rPr>
      </w:pPr>
      <w:r>
        <w:rPr>
          <w:rFonts w:hint="eastAsia" w:ascii="Times New Roman" w:hAnsi="Times New Roman" w:eastAsia="方正黑体_GBK" w:cs="方正黑体_GBK"/>
          <w:color w:val="000000" w:themeColor="text1"/>
          <w:sz w:val="30"/>
          <w:szCs w:val="30"/>
          <w:highlight w:val="none"/>
          <w:lang w:eastAsia="zh-CN"/>
          <w14:textFill>
            <w14:solidFill>
              <w14:schemeClr w14:val="tx1"/>
            </w14:solidFill>
          </w14:textFill>
        </w:rPr>
        <w:t>四、</w:t>
      </w:r>
      <w:r>
        <w:rPr>
          <w:rFonts w:hint="eastAsia" w:ascii="Times New Roman" w:hAnsi="Times New Roman" w:eastAsia="方正黑体_GBK" w:cs="方正黑体_GBK"/>
          <w:color w:val="000000" w:themeColor="text1"/>
          <w:sz w:val="30"/>
          <w:szCs w:val="30"/>
          <w:highlight w:val="none"/>
          <w14:textFill>
            <w14:solidFill>
              <w14:schemeClr w14:val="tx1"/>
            </w14:solidFill>
          </w14:textFill>
        </w:rPr>
        <w:t>财政拨款“三公”经费支出决算情况说明</w:t>
      </w:r>
    </w:p>
    <w:p w14:paraId="6AC886FA">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outlineLvl w:val="2"/>
        <w:rPr>
          <w:rFonts w:hint="eastAsia" w:ascii="方正楷体_GBK" w:hAnsi="方正楷体_GBK" w:eastAsia="方正楷体_GBK" w:cs="方正楷体_GBK"/>
          <w:color w:val="000000" w:themeColor="text1"/>
          <w:sz w:val="30"/>
          <w:szCs w:val="30"/>
          <w:highlight w:val="none"/>
          <w:lang w:val="en-US" w:eastAsia="zh-CN"/>
          <w14:textFill>
            <w14:solidFill>
              <w14:schemeClr w14:val="tx1"/>
            </w14:solidFill>
          </w14:textFill>
        </w:rPr>
      </w:pPr>
      <w:r>
        <w:rPr>
          <w:rFonts w:hint="eastAsia" w:ascii="方正楷体_GBK" w:hAnsi="方正楷体_GBK" w:eastAsia="方正楷体_GBK" w:cs="方正楷体_GBK"/>
          <w:color w:val="000000" w:themeColor="text1"/>
          <w:sz w:val="30"/>
          <w:szCs w:val="30"/>
          <w:highlight w:val="none"/>
          <w:lang w:val="en-US" w:eastAsia="zh-CN"/>
          <w14:textFill>
            <w14:solidFill>
              <w14:schemeClr w14:val="tx1"/>
            </w14:solidFill>
          </w14:textFill>
        </w:rPr>
        <w:t>（一）总体情况</w:t>
      </w:r>
    </w:p>
    <w:p w14:paraId="6ED40CE8">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2025年度</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财政拨款“三公”经费支出决算中，财政拨款“三公”经费支出年初预算为</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3600.00</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元，决算为460.00元，完成年初预算的12.78%；支出决算较上年增加460.00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元，上年无此项支出。</w:t>
      </w:r>
    </w:p>
    <w:p w14:paraId="1B99D2A3">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因公出国（境）费用支出年初预算为0.00元，决算为0.00元，占财政拨款“三公”经费总支出决算的0.00%；公务用车购置费支出年初预算为0.00元，决算为0.00元，占财政拨款“三公”经费总支出决算的0.00%，；公务用车运行维护费支出年初预算为0.00元，决算为0.00元，占财政拨款“三公”经费总支出决算的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公务接待费支出年初预算为3600.00元，决算为460.00元，占财政拨款“三公”经费总支出决算的100.00%，完成年初预算的12.78</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w:t>
      </w:r>
    </w:p>
    <w:p w14:paraId="556D83D5">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因公出国（境）费用支出决算较上年增加0.00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元，上年无此项支出</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；公务用车购置费支出决算较上年增加0.00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元，上年无此项支出</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；公务用车运行维护费支出决算较上年增加0.00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元，上年无此项支出</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；公务接待费支出决算较上年增加460.00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元，上年无此项支出</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；具体是国内接待费支出决算460.00元（其中：外事接待费支出决算0.00元），较上年增加460.00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元，上年无此项支出</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；国（境）外接待费支出决算0.00元，较上年增加0.00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元，上年无此项支出</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w:t>
      </w:r>
    </w:p>
    <w:p w14:paraId="56A4077C">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rPr>
          <w:rFonts w:hint="eastAsia" w:ascii="方正楷体_GBK" w:hAnsi="方正楷体_GBK" w:eastAsia="方正楷体_GBK" w:cs="方正楷体_GBK"/>
          <w:color w:val="000000" w:themeColor="text1"/>
          <w:sz w:val="30"/>
          <w:szCs w:val="30"/>
          <w:highlight w:val="none"/>
          <w:lang w:val="en-US" w:eastAsia="zh-CN"/>
          <w14:textFill>
            <w14:solidFill>
              <w14:schemeClr w14:val="tx1"/>
            </w14:solidFill>
          </w14:textFill>
        </w:rPr>
      </w:pPr>
      <w:r>
        <w:rPr>
          <w:rFonts w:hint="eastAsia" w:ascii="方正楷体_GBK" w:hAnsi="方正楷体_GBK" w:eastAsia="方正楷体_GBK" w:cs="方正楷体_GBK"/>
          <w:color w:val="000000" w:themeColor="text1"/>
          <w:sz w:val="30"/>
          <w:szCs w:val="30"/>
          <w:highlight w:val="none"/>
          <w:lang w:val="en-US" w:eastAsia="zh-CN"/>
          <w14:textFill>
            <w14:solidFill>
              <w14:schemeClr w14:val="tx1"/>
            </w14:solidFill>
          </w14:textFill>
        </w:rPr>
        <w:t>（二）一般公共预算财政拨款“三公”经费支出决算情况说明</w:t>
      </w:r>
    </w:p>
    <w:p w14:paraId="4C42B08E">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2025年度</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一般公共预算财政拨款“三公”经费支出年初预算为3600.00元，支出决算为460.00元，完成年初预算的12.78%，支出决算较上年增加460.00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元，上年无此项支出。</w:t>
      </w:r>
    </w:p>
    <w:p w14:paraId="18BCB318">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一般公共预算财政拨款“三公”经费支出中：因公出国（境）费用支出年初预算为0.00元，决算为0.00元；公务用车购置费支出年初预算为0.00元，决算为0.00元；公务用车运行维护费支出年初预算为0.00元，决算为0.00元；公务接待费支出年初预算为3600.00元，决算为460.00元，完成年初预算的12.78%。</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2025年度</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一般公共预算财政拨款“三公”经费支出决算数小于年初预算数的主要原因是接待减少。</w:t>
      </w:r>
    </w:p>
    <w:p w14:paraId="7C53F75B">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一般公共预算财政拨款“三公”经费支出中：因公出国（境）费用支出决算增加0.00元，</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上年无此项支出</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；公务用车购置费支出决算增加0.00元，增长0.00%，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上年无此项支出</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；公务用车运行维护费支出决算增加0.00元，增长0.00%，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上年无此项支出</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；公务接待费支出决算增加460.00元，增长0.00%，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上年无此项支出</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，具体是国内接待费支出决算460.00元（其中：外事接待费支出决算0.00元），较上年增加</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460.00元，上年无此项支出</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；国（境）外接待费支出决算0.00元，较上年增加</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0.00元</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上年无此项支出</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2025年度</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一般公共预算财政拨款“三公”经费支出决算减少的主要原因是接待减少。</w:t>
      </w:r>
    </w:p>
    <w:p w14:paraId="267DBEE1">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一般公共预算财政拨款“三公”经费支出实物量的具体情况：</w:t>
      </w:r>
    </w:p>
    <w:p w14:paraId="65D2C850">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1.安排因公出国（境）团组0个，累计0人次。</w:t>
      </w:r>
    </w:p>
    <w:p w14:paraId="05708C59">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2.购置车辆0辆。</w:t>
      </w:r>
    </w:p>
    <w:p w14:paraId="2FCF1033">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3.安排国内公务接待1批次（其中：外事接待0批次），接待人次5人（其中：外事接待人次0人）。主要用于</w:t>
      </w:r>
      <w:r>
        <w:rPr>
          <w:rFonts w:hint="default" w:ascii="Times New Roman" w:hAnsi="Times New Roman" w:eastAsia="方正仿宋_GBK" w:cs="方正仿宋_GBK"/>
          <w:color w:val="000000" w:themeColor="text1"/>
          <w:sz w:val="30"/>
          <w:szCs w:val="30"/>
          <w:lang w:val="zh-CN" w:eastAsia="zh-CN"/>
          <w14:textFill>
            <w14:solidFill>
              <w14:schemeClr w14:val="tx1"/>
            </w14:solidFill>
          </w14:textFill>
        </w:rPr>
        <w:t>市委党史研究室到本单位开展党史纪研工作、工作调研</w:t>
      </w:r>
      <w:r>
        <w:rPr>
          <w:rFonts w:hint="default" w:ascii="Times New Roman" w:hAnsi="Times New Roman" w:eastAsia="方正仿宋_GBK" w:cs="方正仿宋_GBK"/>
          <w:color w:val="000000" w:themeColor="text1"/>
          <w:sz w:val="30"/>
          <w:szCs w:val="30"/>
          <w:lang w:val="en-US" w:eastAsia="zh-CN"/>
          <w14:textFill>
            <w14:solidFill>
              <w14:schemeClr w14:val="tx1"/>
            </w14:solidFill>
          </w14:textFill>
        </w:rPr>
        <w:t>发生的接待支出</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。安排国（境）外公务接待0批次，接待人次0人。</w:t>
      </w:r>
    </w:p>
    <w:p w14:paraId="3D8B0CA9">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outlineLvl w:val="2"/>
        <w:rPr>
          <w:rFonts w:hint="eastAsia" w:ascii="Times New Roman" w:hAnsi="Times New Roman" w:eastAsia="楷体"/>
          <w:color w:val="000000" w:themeColor="text1"/>
          <w:sz w:val="30"/>
          <w:szCs w:val="30"/>
          <w:highlight w:val="none"/>
          <w:lang w:eastAsia="zh-CN"/>
          <w14:textFill>
            <w14:solidFill>
              <w14:schemeClr w14:val="tx1"/>
            </w14:solidFill>
          </w14:textFill>
        </w:rPr>
      </w:pPr>
      <w:r>
        <w:rPr>
          <w:rFonts w:hint="eastAsia" w:ascii="方正楷体_GBK" w:hAnsi="方正楷体_GBK" w:eastAsia="方正楷体_GBK" w:cs="方正楷体_GBK"/>
          <w:color w:val="000000" w:themeColor="text1"/>
          <w:sz w:val="30"/>
          <w:szCs w:val="30"/>
          <w:highlight w:val="none"/>
          <w:lang w:val="en-US" w:eastAsia="zh-CN"/>
          <w14:textFill>
            <w14:solidFill>
              <w14:schemeClr w14:val="tx1"/>
            </w14:solidFill>
          </w14:textFill>
        </w:rPr>
        <w:t>（三）需要说明的事项</w:t>
      </w:r>
    </w:p>
    <w:p w14:paraId="5407462D">
      <w:pPr>
        <w:keepNext w:val="0"/>
        <w:keepLines w:val="0"/>
        <w:pageBreakBefore w:val="0"/>
        <w:widowControl/>
        <w:numPr>
          <w:ilvl w:val="0"/>
          <w:numId w:val="0"/>
        </w:numPr>
        <w:kinsoku/>
        <w:wordWrap/>
        <w:overflowPunct/>
        <w:topLinePunct w:val="0"/>
        <w:autoSpaceDE/>
        <w:autoSpaceDN/>
        <w:bidi w:val="0"/>
        <w:adjustRightInd/>
        <w:snapToGrid w:val="0"/>
        <w:spacing w:line="590" w:lineRule="exact"/>
        <w:ind w:firstLine="600" w:firstLineChars="200"/>
        <w:jc w:val="left"/>
        <w:textAlignment w:val="auto"/>
        <w:rPr>
          <w:rFonts w:hint="eastAsia" w:ascii="Times New Roman" w:hAnsi="Times New Roman" w:eastAsia="仿宋_GB2312"/>
          <w:color w:val="000000" w:themeColor="text1"/>
          <w:sz w:val="30"/>
          <w:szCs w:val="30"/>
          <w:highlight w:val="none"/>
          <w:lang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不存在需要说明的事项。</w:t>
      </w:r>
    </w:p>
    <w:p w14:paraId="6E168EFC">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rPr>
          <w:rFonts w:hint="eastAsia" w:ascii="Times New Roman" w:hAnsi="Times New Roman" w:eastAsia="仿宋_GB2312"/>
          <w:color w:val="000000" w:themeColor="text1"/>
          <w:sz w:val="30"/>
          <w:szCs w:val="30"/>
          <w:highlight w:val="none"/>
          <w:lang w:eastAsia="zh-CN"/>
          <w14:textFill>
            <w14:solidFill>
              <w14:schemeClr w14:val="tx1"/>
            </w14:solidFill>
          </w14:textFill>
        </w:rPr>
      </w:pPr>
    </w:p>
    <w:p w14:paraId="7A69B833">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Times New Roman" w:hAnsi="Times New Roman" w:eastAsia="方正黑体_GBK" w:cs="方正黑体_GBK"/>
          <w:color w:val="000000" w:themeColor="text1"/>
          <w:sz w:val="32"/>
          <w:szCs w:val="32"/>
          <w:highlight w:val="none"/>
          <w14:textFill>
            <w14:solidFill>
              <w14:schemeClr w14:val="tx1"/>
            </w14:solidFill>
          </w14:textFill>
        </w:rPr>
      </w:pPr>
      <w:r>
        <w:rPr>
          <w:rFonts w:hint="eastAsia" w:ascii="Times New Roman" w:hAnsi="Times New Roman" w:eastAsia="方正黑体_GBK" w:cs="方正黑体_GBK"/>
          <w:color w:val="000000" w:themeColor="text1"/>
          <w:sz w:val="32"/>
          <w:szCs w:val="32"/>
          <w:highlight w:val="none"/>
          <w14:textFill>
            <w14:solidFill>
              <w14:schemeClr w14:val="tx1"/>
            </w14:solidFill>
          </w14:textFill>
        </w:rPr>
        <w:t>第四部分  其他重要事项及相关口径情况说明</w:t>
      </w:r>
    </w:p>
    <w:p w14:paraId="3A2C8697">
      <w:pPr>
        <w:keepNext w:val="0"/>
        <w:keepLines w:val="0"/>
        <w:pageBreakBefore w:val="0"/>
        <w:widowControl/>
        <w:numPr>
          <w:ilvl w:val="0"/>
          <w:numId w:val="0"/>
        </w:numPr>
        <w:kinsoku/>
        <w:overflowPunct/>
        <w:topLinePunct w:val="0"/>
        <w:autoSpaceDE/>
        <w:autoSpaceDN/>
        <w:bidi w:val="0"/>
        <w:adjustRightInd/>
        <w:snapToGrid w:val="0"/>
        <w:spacing w:line="590" w:lineRule="exact"/>
        <w:ind w:firstLine="600" w:firstLineChars="200"/>
        <w:jc w:val="left"/>
        <w:textAlignment w:val="auto"/>
        <w:outlineLvl w:val="1"/>
        <w:rPr>
          <w:rFonts w:hint="eastAsia" w:ascii="Times New Roman" w:hAnsi="Times New Roman" w:eastAsia="方正黑体_GBK" w:cs="方正黑体_GBK"/>
          <w:color w:val="000000" w:themeColor="text1"/>
          <w:sz w:val="30"/>
          <w:szCs w:val="30"/>
          <w:highlight w:val="none"/>
          <w:lang w:eastAsia="zh-CN"/>
          <w14:textFill>
            <w14:solidFill>
              <w14:schemeClr w14:val="tx1"/>
            </w14:solidFill>
          </w14:textFill>
        </w:rPr>
      </w:pPr>
      <w:r>
        <w:rPr>
          <w:rFonts w:hint="eastAsia" w:ascii="Times New Roman" w:hAnsi="Times New Roman" w:eastAsia="方正黑体_GBK" w:cs="方正黑体_GBK"/>
          <w:color w:val="000000" w:themeColor="text1"/>
          <w:sz w:val="30"/>
          <w:szCs w:val="30"/>
          <w:highlight w:val="none"/>
          <w:lang w:eastAsia="zh-CN"/>
          <w14:textFill>
            <w14:solidFill>
              <w14:schemeClr w14:val="tx1"/>
            </w14:solidFill>
          </w14:textFill>
        </w:rPr>
        <w:t>一、机关运行经费支出情况</w:t>
      </w:r>
    </w:p>
    <w:p w14:paraId="4311D6C4">
      <w:pPr>
        <w:keepNext w:val="0"/>
        <w:keepLines w:val="0"/>
        <w:pageBreakBefore w:val="0"/>
        <w:widowControl/>
        <w:numPr>
          <w:ilvl w:val="0"/>
          <w:numId w:val="0"/>
        </w:numPr>
        <w:kinsoku/>
        <w:wordWrap/>
        <w:overflowPunct/>
        <w:topLinePunct w:val="0"/>
        <w:autoSpaceDE/>
        <w:autoSpaceDN/>
        <w:bidi w:val="0"/>
        <w:adjustRightInd/>
        <w:snapToGrid w:val="0"/>
        <w:spacing w:line="590" w:lineRule="exact"/>
        <w:ind w:firstLine="600" w:firstLineChars="200"/>
        <w:jc w:val="left"/>
        <w:textAlignment w:val="auto"/>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中国共产党华宁县委员会党史研究室</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2025年机关运行经费支出84906.05元，比上年增加19443.05元，增长</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29.70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%,主要原因是人员增加。部门机关运行经费主要用于机关办公运行。</w:t>
      </w:r>
    </w:p>
    <w:p w14:paraId="40F6B423">
      <w:pPr>
        <w:keepNext w:val="0"/>
        <w:keepLines w:val="0"/>
        <w:pageBreakBefore w:val="0"/>
        <w:widowControl/>
        <w:kinsoku/>
        <w:overflowPunct/>
        <w:topLinePunct w:val="0"/>
        <w:autoSpaceDE/>
        <w:autoSpaceDN/>
        <w:bidi w:val="0"/>
        <w:adjustRightInd/>
        <w:spacing w:line="590" w:lineRule="exact"/>
        <w:ind w:firstLine="600" w:firstLineChars="200"/>
        <w:textAlignment w:val="auto"/>
        <w:outlineLvl w:val="1"/>
        <w:rPr>
          <w:rFonts w:hint="eastAsia" w:ascii="Times New Roman" w:hAnsi="Times New Roman" w:eastAsia="黑体" w:cs="黑体"/>
          <w:color w:val="000000" w:themeColor="text1"/>
          <w:sz w:val="30"/>
          <w:szCs w:val="30"/>
          <w:highlight w:val="none"/>
          <w:lang w:eastAsia="zh-CN"/>
          <w14:textFill>
            <w14:solidFill>
              <w14:schemeClr w14:val="tx1"/>
            </w14:solidFill>
          </w14:textFill>
        </w:rPr>
      </w:pPr>
      <w:r>
        <w:rPr>
          <w:rFonts w:hint="eastAsia" w:ascii="Times New Roman" w:hAnsi="Times New Roman" w:eastAsia="方正黑体_GBK" w:cs="方正黑体_GBK"/>
          <w:color w:val="000000" w:themeColor="text1"/>
          <w:sz w:val="30"/>
          <w:szCs w:val="30"/>
          <w:highlight w:val="none"/>
          <w:lang w:val="en-US" w:eastAsia="zh-CN"/>
          <w14:textFill>
            <w14:solidFill>
              <w14:schemeClr w14:val="tx1"/>
            </w14:solidFill>
          </w14:textFill>
        </w:rPr>
        <w:t>二、</w:t>
      </w:r>
      <w:r>
        <w:rPr>
          <w:rFonts w:hint="eastAsia" w:ascii="Times New Roman" w:hAnsi="Times New Roman" w:eastAsia="方正黑体_GBK" w:cs="方正黑体_GBK"/>
          <w:color w:val="000000" w:themeColor="text1"/>
          <w:sz w:val="30"/>
          <w:szCs w:val="30"/>
          <w:highlight w:val="none"/>
          <w:lang w:eastAsia="zh-CN"/>
          <w14:textFill>
            <w14:solidFill>
              <w14:schemeClr w14:val="tx1"/>
            </w14:solidFill>
          </w14:textFill>
        </w:rPr>
        <w:t>国有资产占用情况</w:t>
      </w:r>
    </w:p>
    <w:p w14:paraId="4E26ADA1">
      <w:pPr>
        <w:keepNext w:val="0"/>
        <w:keepLines w:val="0"/>
        <w:pageBreakBefore w:val="0"/>
        <w:widowControl/>
        <w:numPr>
          <w:ilvl w:val="0"/>
          <w:numId w:val="0"/>
        </w:numPr>
        <w:kinsoku/>
        <w:wordWrap/>
        <w:overflowPunct/>
        <w:topLinePunct w:val="0"/>
        <w:autoSpaceDE/>
        <w:autoSpaceDN/>
        <w:bidi w:val="0"/>
        <w:adjustRightInd/>
        <w:snapToGrid w:val="0"/>
        <w:spacing w:line="590" w:lineRule="exact"/>
        <w:ind w:firstLine="600" w:firstLineChars="200"/>
        <w:jc w:val="left"/>
        <w:textAlignment w:val="auto"/>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截至2025年末，中国共产党华宁县委员会党史研究室资产总额</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22100.00</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元，其中，流动资产</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0.00</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元，固定资产</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22100.00</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元（净值），对外投资及有价证券</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0.00</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元，在建工程</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0.00</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元，无形资产</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0.00</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元（净值），其他资产</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0.00</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元（净值）。与上年相比，本年资产总额减少</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6100.00</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元，其中固定资产减少</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6100.00</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元。处置房屋建筑物</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0.00</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平方米，账面原值</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0.00</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元；处置车辆</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0</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辆，账面原值</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0.00</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元；报废报损资产</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0</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项，账面原值</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0.00</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元，实现资产处置收入</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0.00</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元；出租房屋</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0</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平方米，账面原值</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0.00</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元，实现资产使用收入</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0.00</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元。</w:t>
      </w:r>
    </w:p>
    <w:tbl>
      <w:tblPr>
        <w:tblStyle w:val="7"/>
        <w:tblpPr w:leftFromText="180" w:rightFromText="180" w:topFromText="100" w:bottomFromText="100" w:vertAnchor="text" w:horzAnchor="page" w:tblpX="534" w:tblpY="490"/>
        <w:tblOverlap w:val="never"/>
        <w:tblW w:w="0" w:type="auto"/>
        <w:tblInd w:w="-15" w:type="dxa"/>
        <w:tblLayout w:type="fixed"/>
        <w:tblCellMar>
          <w:top w:w="0" w:type="dxa"/>
          <w:left w:w="0" w:type="dxa"/>
          <w:bottom w:w="0" w:type="dxa"/>
          <w:right w:w="0" w:type="dxa"/>
        </w:tblCellMar>
      </w:tblPr>
      <w:tblGrid>
        <w:gridCol w:w="142"/>
      </w:tblGrid>
      <w:tr w14:paraId="68ACFFFE">
        <w:tblPrEx>
          <w:tblCellMar>
            <w:top w:w="0" w:type="dxa"/>
            <w:left w:w="0" w:type="dxa"/>
            <w:bottom w:w="0" w:type="dxa"/>
            <w:right w:w="0" w:type="dxa"/>
          </w:tblCellMar>
        </w:tblPrEx>
        <w:trPr>
          <w:trHeight w:val="495" w:hRule="atLeast"/>
        </w:trPr>
        <w:tc>
          <w:tcPr>
            <w:tcW w:w="142" w:type="dxa"/>
            <w:tcBorders>
              <w:top w:val="nil"/>
              <w:left w:val="nil"/>
              <w:bottom w:val="nil"/>
              <w:right w:val="nil"/>
            </w:tcBorders>
            <w:noWrap w:val="0"/>
            <w:vAlign w:val="center"/>
          </w:tcPr>
          <w:p w14:paraId="6C3B03C0">
            <w:pPr>
              <w:keepNext w:val="0"/>
              <w:keepLines w:val="0"/>
              <w:pageBreakBefore w:val="0"/>
              <w:widowControl/>
              <w:kinsoku/>
              <w:overflowPunct/>
              <w:topLinePunct w:val="0"/>
              <w:autoSpaceDE/>
              <w:autoSpaceDN/>
              <w:bidi w:val="0"/>
              <w:adjustRightInd/>
              <w:spacing w:line="590" w:lineRule="exact"/>
              <w:jc w:val="left"/>
              <w:textAlignment w:val="auto"/>
              <w:rPr>
                <w:rFonts w:ascii="Times New Roman" w:hAnsi="Times New Roman" w:cs="宋体"/>
                <w:color w:val="000000" w:themeColor="text1"/>
                <w:kern w:val="0"/>
                <w:sz w:val="17"/>
                <w:szCs w:val="17"/>
                <w:highlight w:val="none"/>
                <w14:textFill>
                  <w14:solidFill>
                    <w14:schemeClr w14:val="tx1"/>
                  </w14:solidFill>
                </w14:textFill>
              </w:rPr>
            </w:pPr>
          </w:p>
        </w:tc>
      </w:tr>
      <w:tr w14:paraId="57EA8D94">
        <w:tblPrEx>
          <w:tblCellMar>
            <w:top w:w="0" w:type="dxa"/>
            <w:left w:w="0" w:type="dxa"/>
            <w:bottom w:w="0" w:type="dxa"/>
            <w:right w:w="0" w:type="dxa"/>
          </w:tblCellMar>
        </w:tblPrEx>
        <w:trPr>
          <w:trHeight w:val="347" w:hRule="atLeast"/>
        </w:trPr>
        <w:tc>
          <w:tcPr>
            <w:tcW w:w="142" w:type="dxa"/>
            <w:tcBorders>
              <w:top w:val="nil"/>
              <w:left w:val="nil"/>
              <w:bottom w:val="nil"/>
              <w:right w:val="nil"/>
            </w:tcBorders>
            <w:noWrap w:val="0"/>
            <w:vAlign w:val="center"/>
          </w:tcPr>
          <w:p w14:paraId="528CDEE8">
            <w:pPr>
              <w:keepNext w:val="0"/>
              <w:keepLines w:val="0"/>
              <w:pageBreakBefore w:val="0"/>
              <w:widowControl/>
              <w:kinsoku/>
              <w:overflowPunct/>
              <w:topLinePunct w:val="0"/>
              <w:autoSpaceDE/>
              <w:autoSpaceDN/>
              <w:bidi w:val="0"/>
              <w:adjustRightInd/>
              <w:spacing w:line="590" w:lineRule="exact"/>
              <w:jc w:val="left"/>
              <w:textAlignment w:val="auto"/>
              <w:rPr>
                <w:rFonts w:ascii="Times New Roman" w:hAnsi="Times New Roman" w:cs="宋体"/>
                <w:color w:val="000000" w:themeColor="text1"/>
                <w:kern w:val="0"/>
                <w:sz w:val="17"/>
                <w:szCs w:val="17"/>
                <w:highlight w:val="none"/>
                <w14:textFill>
                  <w14:solidFill>
                    <w14:schemeClr w14:val="tx1"/>
                  </w14:solidFill>
                </w14:textFill>
              </w:rPr>
            </w:pPr>
          </w:p>
        </w:tc>
      </w:tr>
      <w:tr w14:paraId="5A14378C">
        <w:tblPrEx>
          <w:tblCellMar>
            <w:top w:w="0" w:type="dxa"/>
            <w:left w:w="0" w:type="dxa"/>
            <w:bottom w:w="0" w:type="dxa"/>
            <w:right w:w="0" w:type="dxa"/>
          </w:tblCellMar>
        </w:tblPrEx>
        <w:trPr>
          <w:trHeight w:val="415" w:hRule="atLeast"/>
        </w:trPr>
        <w:tc>
          <w:tcPr>
            <w:tcW w:w="142" w:type="dxa"/>
            <w:tcBorders>
              <w:top w:val="nil"/>
              <w:left w:val="nil"/>
              <w:bottom w:val="nil"/>
              <w:right w:val="nil"/>
            </w:tcBorders>
            <w:noWrap w:val="0"/>
            <w:vAlign w:val="center"/>
          </w:tcPr>
          <w:p w14:paraId="31356B71">
            <w:pPr>
              <w:keepNext w:val="0"/>
              <w:keepLines w:val="0"/>
              <w:pageBreakBefore w:val="0"/>
              <w:widowControl/>
              <w:kinsoku/>
              <w:overflowPunct/>
              <w:topLinePunct w:val="0"/>
              <w:autoSpaceDE/>
              <w:autoSpaceDN/>
              <w:bidi w:val="0"/>
              <w:adjustRightInd/>
              <w:spacing w:line="590" w:lineRule="exact"/>
              <w:jc w:val="left"/>
              <w:textAlignment w:val="auto"/>
              <w:rPr>
                <w:rFonts w:ascii="Times New Roman" w:hAnsi="Times New Roman" w:cs="宋体"/>
                <w:color w:val="000000" w:themeColor="text1"/>
                <w:kern w:val="0"/>
                <w:sz w:val="17"/>
                <w:szCs w:val="17"/>
                <w:highlight w:val="none"/>
                <w14:textFill>
                  <w14:solidFill>
                    <w14:schemeClr w14:val="tx1"/>
                  </w14:solidFill>
                </w14:textFill>
              </w:rPr>
            </w:pPr>
          </w:p>
        </w:tc>
      </w:tr>
      <w:tr w14:paraId="1A85156B">
        <w:tblPrEx>
          <w:tblCellMar>
            <w:top w:w="0" w:type="dxa"/>
            <w:left w:w="0" w:type="dxa"/>
            <w:bottom w:w="0" w:type="dxa"/>
            <w:right w:w="0" w:type="dxa"/>
          </w:tblCellMar>
        </w:tblPrEx>
        <w:trPr>
          <w:trHeight w:val="345" w:hRule="atLeast"/>
        </w:trPr>
        <w:tc>
          <w:tcPr>
            <w:tcW w:w="142" w:type="dxa"/>
            <w:tcBorders>
              <w:top w:val="nil"/>
              <w:left w:val="nil"/>
              <w:bottom w:val="nil"/>
              <w:right w:val="nil"/>
            </w:tcBorders>
            <w:noWrap w:val="0"/>
            <w:vAlign w:val="center"/>
          </w:tcPr>
          <w:p w14:paraId="278E6DB0">
            <w:pPr>
              <w:keepNext w:val="0"/>
              <w:keepLines w:val="0"/>
              <w:pageBreakBefore w:val="0"/>
              <w:widowControl/>
              <w:kinsoku/>
              <w:overflowPunct/>
              <w:topLinePunct w:val="0"/>
              <w:autoSpaceDE/>
              <w:autoSpaceDN/>
              <w:bidi w:val="0"/>
              <w:adjustRightInd/>
              <w:spacing w:line="590" w:lineRule="exact"/>
              <w:jc w:val="left"/>
              <w:textAlignment w:val="auto"/>
              <w:rPr>
                <w:rFonts w:ascii="Times New Roman" w:hAnsi="Times New Roman" w:cs="宋体"/>
                <w:color w:val="000000" w:themeColor="text1"/>
                <w:kern w:val="0"/>
                <w:sz w:val="17"/>
                <w:szCs w:val="17"/>
                <w:highlight w:val="none"/>
                <w14:textFill>
                  <w14:solidFill>
                    <w14:schemeClr w14:val="tx1"/>
                  </w14:solidFill>
                </w14:textFill>
              </w:rPr>
            </w:pPr>
          </w:p>
        </w:tc>
      </w:tr>
      <w:tr w14:paraId="2494B2C0">
        <w:tblPrEx>
          <w:tblCellMar>
            <w:top w:w="0" w:type="dxa"/>
            <w:left w:w="0" w:type="dxa"/>
            <w:bottom w:w="0" w:type="dxa"/>
            <w:right w:w="0" w:type="dxa"/>
          </w:tblCellMar>
        </w:tblPrEx>
        <w:trPr>
          <w:trHeight w:val="395" w:hRule="atLeast"/>
        </w:trPr>
        <w:tc>
          <w:tcPr>
            <w:tcW w:w="142" w:type="dxa"/>
            <w:tcBorders>
              <w:top w:val="nil"/>
              <w:left w:val="nil"/>
              <w:bottom w:val="nil"/>
              <w:right w:val="nil"/>
            </w:tcBorders>
            <w:noWrap w:val="0"/>
            <w:vAlign w:val="center"/>
          </w:tcPr>
          <w:p w14:paraId="79C78979">
            <w:pPr>
              <w:keepNext w:val="0"/>
              <w:keepLines w:val="0"/>
              <w:pageBreakBefore w:val="0"/>
              <w:widowControl/>
              <w:kinsoku/>
              <w:overflowPunct/>
              <w:topLinePunct w:val="0"/>
              <w:autoSpaceDE/>
              <w:autoSpaceDN/>
              <w:bidi w:val="0"/>
              <w:adjustRightInd/>
              <w:spacing w:line="590" w:lineRule="exact"/>
              <w:jc w:val="left"/>
              <w:textAlignment w:val="auto"/>
              <w:rPr>
                <w:rFonts w:ascii="Times New Roman" w:hAnsi="Times New Roman" w:cs="宋体"/>
                <w:color w:val="000000" w:themeColor="text1"/>
                <w:kern w:val="0"/>
                <w:sz w:val="17"/>
                <w:szCs w:val="17"/>
                <w:highlight w:val="none"/>
                <w14:textFill>
                  <w14:solidFill>
                    <w14:schemeClr w14:val="tx1"/>
                  </w14:solidFill>
                </w14:textFill>
              </w:rPr>
            </w:pPr>
          </w:p>
        </w:tc>
      </w:tr>
      <w:tr w14:paraId="1AA75122">
        <w:tblPrEx>
          <w:tblCellMar>
            <w:top w:w="0" w:type="dxa"/>
            <w:left w:w="0" w:type="dxa"/>
            <w:bottom w:w="0" w:type="dxa"/>
            <w:right w:w="0" w:type="dxa"/>
          </w:tblCellMar>
        </w:tblPrEx>
        <w:trPr>
          <w:trHeight w:val="358" w:hRule="atLeast"/>
        </w:trPr>
        <w:tc>
          <w:tcPr>
            <w:tcW w:w="142" w:type="dxa"/>
            <w:tcBorders>
              <w:top w:val="nil"/>
              <w:left w:val="nil"/>
              <w:bottom w:val="nil"/>
              <w:right w:val="nil"/>
            </w:tcBorders>
            <w:noWrap w:val="0"/>
            <w:vAlign w:val="center"/>
          </w:tcPr>
          <w:p w14:paraId="6C2720DC">
            <w:pPr>
              <w:keepNext w:val="0"/>
              <w:keepLines w:val="0"/>
              <w:pageBreakBefore w:val="0"/>
              <w:widowControl/>
              <w:kinsoku/>
              <w:overflowPunct/>
              <w:topLinePunct w:val="0"/>
              <w:autoSpaceDE/>
              <w:autoSpaceDN/>
              <w:bidi w:val="0"/>
              <w:adjustRightInd/>
              <w:spacing w:line="590" w:lineRule="exact"/>
              <w:jc w:val="left"/>
              <w:textAlignment w:val="auto"/>
              <w:rPr>
                <w:rFonts w:ascii="Times New Roman" w:hAnsi="Times New Roman" w:cs="宋体"/>
                <w:color w:val="000000" w:themeColor="text1"/>
                <w:kern w:val="0"/>
                <w:sz w:val="17"/>
                <w:szCs w:val="17"/>
                <w:highlight w:val="none"/>
                <w14:textFill>
                  <w14:solidFill>
                    <w14:schemeClr w14:val="tx1"/>
                  </w14:solidFill>
                </w14:textFill>
              </w:rPr>
            </w:pPr>
          </w:p>
        </w:tc>
      </w:tr>
      <w:tr w14:paraId="21521C51">
        <w:tblPrEx>
          <w:tblCellMar>
            <w:top w:w="0" w:type="dxa"/>
            <w:left w:w="0" w:type="dxa"/>
            <w:bottom w:w="0" w:type="dxa"/>
            <w:right w:w="0" w:type="dxa"/>
          </w:tblCellMar>
        </w:tblPrEx>
        <w:trPr>
          <w:trHeight w:val="563" w:hRule="atLeast"/>
        </w:trPr>
        <w:tc>
          <w:tcPr>
            <w:tcW w:w="142" w:type="dxa"/>
            <w:tcBorders>
              <w:top w:val="nil"/>
              <w:left w:val="nil"/>
              <w:bottom w:val="nil"/>
              <w:right w:val="nil"/>
            </w:tcBorders>
            <w:noWrap w:val="0"/>
            <w:vAlign w:val="center"/>
          </w:tcPr>
          <w:p w14:paraId="7E8709E2">
            <w:pPr>
              <w:keepNext w:val="0"/>
              <w:keepLines w:val="0"/>
              <w:pageBreakBefore w:val="0"/>
              <w:widowControl/>
              <w:kinsoku/>
              <w:overflowPunct/>
              <w:topLinePunct w:val="0"/>
              <w:autoSpaceDE/>
              <w:autoSpaceDN/>
              <w:bidi w:val="0"/>
              <w:adjustRightInd/>
              <w:spacing w:line="590" w:lineRule="exact"/>
              <w:jc w:val="left"/>
              <w:textAlignment w:val="auto"/>
              <w:rPr>
                <w:rFonts w:ascii="Times New Roman" w:hAnsi="Times New Roman" w:cs="宋体"/>
                <w:color w:val="000000" w:themeColor="text1"/>
                <w:kern w:val="0"/>
                <w:sz w:val="17"/>
                <w:szCs w:val="17"/>
                <w:highlight w:val="none"/>
                <w14:textFill>
                  <w14:solidFill>
                    <w14:schemeClr w14:val="tx1"/>
                  </w14:solidFill>
                </w14:textFill>
              </w:rPr>
            </w:pPr>
          </w:p>
        </w:tc>
      </w:tr>
      <w:tr w14:paraId="78DE66CB">
        <w:tblPrEx>
          <w:tblCellMar>
            <w:top w:w="0" w:type="dxa"/>
            <w:left w:w="0" w:type="dxa"/>
            <w:bottom w:w="0" w:type="dxa"/>
            <w:right w:w="0" w:type="dxa"/>
          </w:tblCellMar>
        </w:tblPrEx>
        <w:trPr>
          <w:trHeight w:val="495" w:hRule="atLeast"/>
        </w:trPr>
        <w:tc>
          <w:tcPr>
            <w:tcW w:w="142" w:type="dxa"/>
            <w:noWrap w:val="0"/>
            <w:vAlign w:val="center"/>
          </w:tcPr>
          <w:p w14:paraId="179BD663">
            <w:pPr>
              <w:keepNext w:val="0"/>
              <w:keepLines w:val="0"/>
              <w:pageBreakBefore w:val="0"/>
              <w:widowControl/>
              <w:kinsoku/>
              <w:overflowPunct/>
              <w:topLinePunct w:val="0"/>
              <w:autoSpaceDE/>
              <w:autoSpaceDN/>
              <w:bidi w:val="0"/>
              <w:adjustRightInd/>
              <w:spacing w:line="590" w:lineRule="exact"/>
              <w:jc w:val="left"/>
              <w:textAlignment w:val="auto"/>
              <w:rPr>
                <w:rFonts w:ascii="Times New Roman" w:hAnsi="Times New Roman" w:eastAsia="Times New Roman"/>
                <w:color w:val="000000" w:themeColor="text1"/>
                <w:kern w:val="0"/>
                <w:sz w:val="20"/>
                <w:szCs w:val="20"/>
                <w:highlight w:val="none"/>
                <w14:textFill>
                  <w14:solidFill>
                    <w14:schemeClr w14:val="tx1"/>
                  </w14:solidFill>
                </w14:textFill>
              </w:rPr>
            </w:pPr>
          </w:p>
        </w:tc>
      </w:tr>
    </w:tbl>
    <w:p w14:paraId="53218DC4">
      <w:pPr>
        <w:keepNext w:val="0"/>
        <w:keepLines w:val="0"/>
        <w:pageBreakBefore w:val="0"/>
        <w:widowControl/>
        <w:kinsoku/>
        <w:overflowPunct/>
        <w:topLinePunct w:val="0"/>
        <w:autoSpaceDE/>
        <w:autoSpaceDN/>
        <w:bidi w:val="0"/>
        <w:adjustRightInd/>
        <w:spacing w:line="590" w:lineRule="exact"/>
        <w:ind w:firstLine="600" w:firstLineChars="200"/>
        <w:textAlignment w:val="auto"/>
        <w:outlineLvl w:val="1"/>
        <w:rPr>
          <w:rFonts w:hint="eastAsia" w:ascii="Times New Roman" w:hAnsi="Times New Roman" w:eastAsia="方正黑体_GBK" w:cs="方正黑体_GBK"/>
          <w:color w:val="000000" w:themeColor="text1"/>
          <w:sz w:val="30"/>
          <w:szCs w:val="30"/>
          <w:highlight w:val="none"/>
          <w:lang w:val="en-US" w:eastAsia="zh-CN"/>
          <w14:textFill>
            <w14:solidFill>
              <w14:schemeClr w14:val="tx1"/>
            </w14:solidFill>
          </w14:textFill>
        </w:rPr>
      </w:pPr>
      <w:r>
        <w:rPr>
          <w:rFonts w:hint="eastAsia" w:ascii="Times New Roman" w:hAnsi="Times New Roman" w:eastAsia="方正黑体_GBK" w:cs="方正黑体_GBK"/>
          <w:color w:val="000000" w:themeColor="text1"/>
          <w:sz w:val="30"/>
          <w:szCs w:val="30"/>
          <w:highlight w:val="none"/>
          <w:lang w:val="en-US" w:eastAsia="zh-CN"/>
          <w14:textFill>
            <w14:solidFill>
              <w14:schemeClr w14:val="tx1"/>
            </w14:solidFill>
          </w14:textFill>
        </w:rPr>
        <w:t>三、政府采购支出情况</w:t>
      </w:r>
    </w:p>
    <w:p w14:paraId="7FDC1C46">
      <w:pPr>
        <w:keepNext w:val="0"/>
        <w:keepLines w:val="0"/>
        <w:pageBreakBefore w:val="0"/>
        <w:widowControl/>
        <w:numPr>
          <w:ilvl w:val="0"/>
          <w:numId w:val="0"/>
        </w:numPr>
        <w:kinsoku/>
        <w:wordWrap/>
        <w:overflowPunct/>
        <w:topLinePunct w:val="0"/>
        <w:autoSpaceDE/>
        <w:autoSpaceDN/>
        <w:bidi w:val="0"/>
        <w:adjustRightInd/>
        <w:snapToGrid w:val="0"/>
        <w:spacing w:line="590" w:lineRule="exact"/>
        <w:ind w:firstLine="600" w:firstLineChars="200"/>
        <w:jc w:val="left"/>
        <w:textAlignment w:val="auto"/>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2025年度，部门政府采购支出总额</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元，其中：政府采购货物支出</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元；政府采购工程支出</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元；政府采购服务支出</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元。授予中小企业合同金额</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元，其中：授予小微企业合同金额</w:t>
      </w:r>
      <w:r>
        <w:rPr>
          <w:rFonts w:hint="eastAsia" w:ascii="Times New Roman" w:hAnsi="Times New Roman" w:eastAsia="方正仿宋_GBK" w:cs="方正仿宋_GBK"/>
          <w:color w:val="000000" w:themeColor="text1"/>
          <w:sz w:val="30"/>
          <w:szCs w:val="30"/>
          <w:lang w:val="zh-CN" w:eastAsia="zh-CN"/>
          <w14:textFill>
            <w14:solidFill>
              <w14:schemeClr w14:val="tx1"/>
            </w14:solidFill>
          </w14:textFill>
        </w:rPr>
        <w:t>0.00</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元。</w:t>
      </w:r>
    </w:p>
    <w:p w14:paraId="3A2C45CA">
      <w:pPr>
        <w:keepNext w:val="0"/>
        <w:keepLines w:val="0"/>
        <w:pageBreakBefore w:val="0"/>
        <w:widowControl/>
        <w:kinsoku/>
        <w:overflowPunct/>
        <w:topLinePunct w:val="0"/>
        <w:autoSpaceDE/>
        <w:autoSpaceDN/>
        <w:bidi w:val="0"/>
        <w:adjustRightInd/>
        <w:spacing w:line="590" w:lineRule="exact"/>
        <w:ind w:firstLine="600" w:firstLineChars="200"/>
        <w:textAlignment w:val="auto"/>
        <w:outlineLvl w:val="1"/>
        <w:rPr>
          <w:rFonts w:hint="eastAsia" w:ascii="Times New Roman" w:hAnsi="Times New Roman" w:eastAsia="方正黑体_GBK" w:cs="方正黑体_GBK"/>
          <w:color w:val="000000" w:themeColor="text1"/>
          <w:sz w:val="30"/>
          <w:szCs w:val="30"/>
          <w:highlight w:val="none"/>
          <w:lang w:val="en-US" w:eastAsia="zh-CN"/>
          <w14:textFill>
            <w14:solidFill>
              <w14:schemeClr w14:val="tx1"/>
            </w14:solidFill>
          </w14:textFill>
        </w:rPr>
      </w:pPr>
      <w:r>
        <w:rPr>
          <w:rFonts w:hint="eastAsia" w:ascii="Times New Roman" w:hAnsi="Times New Roman" w:eastAsia="方正黑体_GBK" w:cs="方正黑体_GBK"/>
          <w:color w:val="000000" w:themeColor="text1"/>
          <w:sz w:val="30"/>
          <w:szCs w:val="30"/>
          <w:highlight w:val="none"/>
          <w:lang w:val="en-US" w:eastAsia="zh-CN"/>
          <w14:textFill>
            <w14:solidFill>
              <w14:schemeClr w14:val="tx1"/>
            </w14:solidFill>
          </w14:textFill>
        </w:rPr>
        <w:t>四、部门绩效自评情况</w:t>
      </w:r>
    </w:p>
    <w:p w14:paraId="74438B5B">
      <w:pPr>
        <w:keepNext w:val="0"/>
        <w:keepLines w:val="0"/>
        <w:pageBreakBefore w:val="0"/>
        <w:widowControl/>
        <w:numPr>
          <w:ilvl w:val="0"/>
          <w:numId w:val="0"/>
        </w:numPr>
        <w:kinsoku/>
        <w:wordWrap/>
        <w:overflowPunct/>
        <w:topLinePunct w:val="0"/>
        <w:autoSpaceDE/>
        <w:autoSpaceDN/>
        <w:bidi w:val="0"/>
        <w:adjustRightInd/>
        <w:snapToGrid w:val="0"/>
        <w:spacing w:line="590" w:lineRule="exact"/>
        <w:ind w:firstLine="600" w:firstLineChars="200"/>
        <w:jc w:val="left"/>
        <w:textAlignment w:val="auto"/>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部门绩效自评情况详见附表。</w:t>
      </w:r>
    </w:p>
    <w:p w14:paraId="15967F77">
      <w:pPr>
        <w:keepNext w:val="0"/>
        <w:keepLines w:val="0"/>
        <w:pageBreakBefore w:val="0"/>
        <w:widowControl/>
        <w:kinsoku/>
        <w:overflowPunct/>
        <w:topLinePunct w:val="0"/>
        <w:autoSpaceDE/>
        <w:autoSpaceDN/>
        <w:bidi w:val="0"/>
        <w:adjustRightInd/>
        <w:spacing w:line="590" w:lineRule="exact"/>
        <w:ind w:firstLine="600" w:firstLineChars="200"/>
        <w:textAlignment w:val="auto"/>
        <w:outlineLvl w:val="1"/>
        <w:rPr>
          <w:rFonts w:hint="eastAsia" w:ascii="Times New Roman" w:hAnsi="Times New Roman" w:eastAsia="方正黑体_GBK" w:cs="方正黑体_GBK"/>
          <w:color w:val="000000" w:themeColor="text1"/>
          <w:sz w:val="30"/>
          <w:szCs w:val="30"/>
          <w:highlight w:val="none"/>
          <w:lang w:val="en-US" w:eastAsia="zh-CN"/>
          <w14:textFill>
            <w14:solidFill>
              <w14:schemeClr w14:val="tx1"/>
            </w14:solidFill>
          </w14:textFill>
        </w:rPr>
      </w:pPr>
      <w:r>
        <w:rPr>
          <w:rFonts w:hint="eastAsia" w:ascii="Times New Roman" w:hAnsi="Times New Roman" w:eastAsia="方正黑体_GBK" w:cs="方正黑体_GBK"/>
          <w:color w:val="000000" w:themeColor="text1"/>
          <w:sz w:val="30"/>
          <w:szCs w:val="30"/>
          <w:highlight w:val="none"/>
          <w:lang w:val="en-US" w:eastAsia="zh-CN"/>
          <w14:textFill>
            <w14:solidFill>
              <w14:schemeClr w14:val="tx1"/>
            </w14:solidFill>
          </w14:textFill>
        </w:rPr>
        <w:t>五、其他重要事项情况说明</w:t>
      </w:r>
    </w:p>
    <w:p w14:paraId="44DB1000">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仿宋_GB2312" w:cs="方正小标宋简体"/>
          <w:color w:val="000000" w:themeColor="text1"/>
          <w:sz w:val="30"/>
          <w:szCs w:val="30"/>
          <w:highlight w:val="none"/>
          <w:lang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无</w:t>
      </w:r>
    </w:p>
    <w:p w14:paraId="0E12DC68">
      <w:pPr>
        <w:keepNext w:val="0"/>
        <w:keepLines w:val="0"/>
        <w:pageBreakBefore w:val="0"/>
        <w:widowControl/>
        <w:kinsoku/>
        <w:overflowPunct/>
        <w:topLinePunct w:val="0"/>
        <w:autoSpaceDE/>
        <w:autoSpaceDN/>
        <w:bidi w:val="0"/>
        <w:adjustRightInd/>
        <w:spacing w:line="590" w:lineRule="exact"/>
        <w:ind w:firstLine="600" w:firstLineChars="200"/>
        <w:textAlignment w:val="auto"/>
        <w:outlineLvl w:val="1"/>
        <w:rPr>
          <w:rFonts w:hint="eastAsia" w:ascii="Times New Roman" w:hAnsi="Times New Roman" w:eastAsia="方正黑体_GBK" w:cs="方正黑体_GBK"/>
          <w:color w:val="000000" w:themeColor="text1"/>
          <w:sz w:val="30"/>
          <w:szCs w:val="30"/>
          <w:highlight w:val="none"/>
          <w:lang w:val="en-US" w:eastAsia="zh-CN"/>
          <w14:textFill>
            <w14:solidFill>
              <w14:schemeClr w14:val="tx1"/>
            </w14:solidFill>
          </w14:textFill>
        </w:rPr>
      </w:pPr>
      <w:r>
        <w:rPr>
          <w:rFonts w:hint="eastAsia" w:ascii="Times New Roman" w:hAnsi="Times New Roman" w:eastAsia="方正黑体_GBK" w:cs="方正黑体_GBK"/>
          <w:color w:val="000000" w:themeColor="text1"/>
          <w:sz w:val="30"/>
          <w:szCs w:val="30"/>
          <w:highlight w:val="none"/>
          <w:lang w:val="en-US" w:eastAsia="zh-CN"/>
          <w14:textFill>
            <w14:solidFill>
              <w14:schemeClr w14:val="tx1"/>
            </w14:solidFill>
          </w14:textFill>
        </w:rPr>
        <w:t>六、相关口径说明</w:t>
      </w:r>
    </w:p>
    <w:p w14:paraId="0841F73E">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pPr>
      <w:r>
        <w:rPr>
          <w:rFonts w:hint="eastAsia" w:ascii="方正楷体_GBK" w:hAnsi="方正楷体_GBK" w:eastAsia="方正楷体_GBK" w:cs="方正楷体_GBK"/>
          <w:color w:val="000000" w:themeColor="text1"/>
          <w:sz w:val="30"/>
          <w:szCs w:val="30"/>
          <w:highlight w:val="none"/>
          <w:lang w:val="en-US" w:eastAsia="zh-CN"/>
          <w14:textFill>
            <w14:solidFill>
              <w14:schemeClr w14:val="tx1"/>
            </w14:solidFill>
          </w14:textFill>
        </w:rPr>
        <w:t>（一）</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基本支出中人员经费包括工资福利支出和对个人和家庭的补助，公用经费包括商品和服务支出、资本性支出等人员经费以外的支出。</w:t>
      </w:r>
    </w:p>
    <w:p w14:paraId="728D2D38">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pPr>
      <w:r>
        <w:rPr>
          <w:rFonts w:hint="eastAsia" w:ascii="方正楷体_GBK" w:hAnsi="方正楷体_GBK" w:eastAsia="方正楷体_GBK" w:cs="方正楷体_GBK"/>
          <w:color w:val="000000" w:themeColor="text1"/>
          <w:sz w:val="30"/>
          <w:szCs w:val="30"/>
          <w:highlight w:val="none"/>
          <w:lang w:val="en-US" w:eastAsia="zh-CN"/>
          <w14:textFill>
            <w14:solidFill>
              <w14:schemeClr w14:val="tx1"/>
            </w14:solidFill>
          </w14:textFill>
        </w:rPr>
        <w:t>（二）</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机关运行经费指行政单位和参照公务员法管理的事业单位使用一般公共预算财政拨款安排的基本支出中的公用经费支出。</w:t>
      </w:r>
    </w:p>
    <w:p w14:paraId="5CC8E309">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pPr>
      <w:r>
        <w:rPr>
          <w:rFonts w:hint="eastAsia" w:ascii="方正楷体_GBK" w:hAnsi="方正楷体_GBK" w:eastAsia="方正楷体_GBK" w:cs="方正楷体_GBK"/>
          <w:color w:val="000000" w:themeColor="text1"/>
          <w:sz w:val="30"/>
          <w:szCs w:val="30"/>
          <w:highlight w:val="none"/>
          <w:lang w:val="en-US" w:eastAsia="zh-CN"/>
          <w14:textFill>
            <w14:solidFill>
              <w14:schemeClr w14:val="tx1"/>
            </w14:solidFill>
          </w14:textFill>
        </w:rPr>
        <w:t>（三）</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按照党中央、国务院有关文件及部门预算管理有关规定，“三公”经费包括因公出国（境）费用、公务用车购置及运行维护费、公务接待费。其中：因公出国（境）费用，指单位公务出国（境）的国际旅费、国外城市间交通费、住宿费、伙食费、培训费、公杂费等支出；公务用车购置费，指公务用车购置支出（含车辆购置税、牌照费）；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本文中公开的财政拨款“三公”经费相关数据是一般公共预算、政府性基金及国有资本经营预算财政拨款支出的相关经费，不含非财政拨款部分。</w:t>
      </w:r>
    </w:p>
    <w:p w14:paraId="7429ECA6">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pPr>
      <w:r>
        <w:rPr>
          <w:rFonts w:hint="eastAsia" w:ascii="方正楷体_GBK" w:hAnsi="方正楷体_GBK" w:eastAsia="方正楷体_GBK" w:cs="方正楷体_GBK"/>
          <w:color w:val="000000" w:themeColor="text1"/>
          <w:sz w:val="30"/>
          <w:szCs w:val="30"/>
          <w:highlight w:val="none"/>
          <w:lang w:val="en-US" w:eastAsia="zh-CN"/>
          <w14:textFill>
            <w14:solidFill>
              <w14:schemeClr w14:val="tx1"/>
            </w14:solidFill>
          </w14:textFill>
        </w:rPr>
        <w:t>（四）</w:t>
      </w: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本文所称财政拨款“三公”经费决算数是指各部门（含下属单位）当年通过本级财政拨款和以前年度财政拨款结转结余资金安排的因公出国（境）费用、公务用车购置及运行维护费和公务接待费支出数（包括基本支出和项目支出）。</w:t>
      </w:r>
    </w:p>
    <w:p w14:paraId="64ABBE41">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Times New Roman" w:hAnsi="Times New Roman" w:eastAsia="黑体" w:cs="方正小标宋简体"/>
          <w:color w:val="000000" w:themeColor="text1"/>
          <w:sz w:val="32"/>
          <w:szCs w:val="32"/>
          <w:highlight w:val="none"/>
          <w14:textFill>
            <w14:solidFill>
              <w14:schemeClr w14:val="tx1"/>
            </w14:solidFill>
          </w14:textFill>
        </w:rPr>
      </w:pPr>
      <w:r>
        <w:rPr>
          <w:rFonts w:hint="eastAsia" w:ascii="Times New Roman" w:hAnsi="Times New Roman" w:eastAsia="方正黑体_GBK" w:cs="方正黑体_GBK"/>
          <w:color w:val="000000" w:themeColor="text1"/>
          <w:sz w:val="32"/>
          <w:szCs w:val="32"/>
          <w:highlight w:val="none"/>
          <w14:textFill>
            <w14:solidFill>
              <w14:schemeClr w14:val="tx1"/>
            </w14:solidFill>
          </w14:textFill>
        </w:rPr>
        <w:t>第</w:t>
      </w:r>
      <w:r>
        <w:rPr>
          <w:rFonts w:hint="eastAsia" w:ascii="Times New Roman" w:hAnsi="Times New Roman" w:eastAsia="方正黑体_GBK" w:cs="方正黑体_GBK"/>
          <w:color w:val="000000" w:themeColor="text1"/>
          <w:sz w:val="32"/>
          <w:szCs w:val="32"/>
          <w:highlight w:val="none"/>
          <w:lang w:eastAsia="zh-CN"/>
          <w14:textFill>
            <w14:solidFill>
              <w14:schemeClr w14:val="tx1"/>
            </w14:solidFill>
          </w14:textFill>
        </w:rPr>
        <w:t>五</w:t>
      </w:r>
      <w:r>
        <w:rPr>
          <w:rFonts w:hint="eastAsia" w:ascii="Times New Roman" w:hAnsi="Times New Roman" w:eastAsia="方正黑体_GBK" w:cs="方正黑体_GBK"/>
          <w:color w:val="000000" w:themeColor="text1"/>
          <w:sz w:val="32"/>
          <w:szCs w:val="32"/>
          <w:highlight w:val="none"/>
          <w14:textFill>
            <w14:solidFill>
              <w14:schemeClr w14:val="tx1"/>
            </w14:solidFill>
          </w14:textFill>
        </w:rPr>
        <w:t>部分  名词解释</w:t>
      </w:r>
    </w:p>
    <w:p w14:paraId="2061C03B">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pPr>
      <w:r>
        <w:rPr>
          <w:rFonts w:hint="eastAsia" w:ascii="Times New Roman" w:hAnsi="Times New Roman" w:eastAsia="方正仿宋_GBK" w:cs="方正仿宋_GBK"/>
          <w:color w:val="000000" w:themeColor="text1"/>
          <w:sz w:val="30"/>
          <w:szCs w:val="30"/>
          <w:lang w:val="en-US" w:eastAsia="zh-CN"/>
          <w14:textFill>
            <w14:solidFill>
              <w14:schemeClr w14:val="tx1"/>
            </w14:solidFill>
          </w14:textFill>
        </w:rPr>
        <w:t>部门决算：各部门依据国家有关法律法规规定及其履行职能情况编制，反映部门所有预算收支和结余执行结果及绩效等情况的综合性年度报告，是改进部门预算执行以及编制后续年度部门预算的参考和依据。</w:t>
      </w: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Arial">
    <w:panose1 w:val="020B0604020202020204"/>
    <w:charset w:val="00"/>
    <w:family w:val="auto"/>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黑体_GBK">
    <w:panose1 w:val="02000000000000000000"/>
    <w:charset w:val="86"/>
    <w:family w:val="auto"/>
    <w:pitch w:val="default"/>
    <w:sig w:usb0="A00002BF" w:usb1="38CF7CFA" w:usb2="00082016" w:usb3="00000000" w:csb0="00040001" w:csb1="00000000"/>
  </w:font>
  <w:font w:name="楷体">
    <w:panose1 w:val="02010609060101010101"/>
    <w:charset w:val="86"/>
    <w:family w:val="modern"/>
    <w:pitch w:val="default"/>
    <w:sig w:usb0="800002BF" w:usb1="38CF7CFA"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Stencil">
    <w:panose1 w:val="040409050D0802020404"/>
    <w:charset w:val="00"/>
    <w:family w:val="auto"/>
    <w:pitch w:val="default"/>
    <w:sig w:usb0="00000003" w:usb1="00000000" w:usb2="00000000" w:usb3="00000000" w:csb0="20000001" w:csb1="00000000"/>
  </w:font>
  <w:font w:name="Rockwell Extra Bold">
    <w:panose1 w:val="02060903040505020403"/>
    <w:charset w:val="00"/>
    <w:family w:val="auto"/>
    <w:pitch w:val="default"/>
    <w:sig w:usb0="00000003" w:usb1="00000000" w:usb2="00000000" w:usb3="00000000" w:csb0="20000001" w:csb1="00000000"/>
  </w:font>
  <w:font w:name="Segoe UI">
    <w:panose1 w:val="020B0502040204020203"/>
    <w:charset w:val="00"/>
    <w:family w:val="auto"/>
    <w:pitch w:val="default"/>
    <w:sig w:usb0="E4002EFF" w:usb1="C000E47F" w:usb2="00000009" w:usb3="00000000" w:csb0="200001FF" w:csb1="00000000"/>
  </w:font>
  <w:font w:name="Showcard Gothic">
    <w:panose1 w:val="04020904020102020604"/>
    <w:charset w:val="00"/>
    <w:family w:val="auto"/>
    <w:pitch w:val="default"/>
    <w:sig w:usb0="00000003" w:usb1="00000000" w:usb2="00000000" w:usb3="00000000" w:csb0="2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5A3BA">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3D8B812">
                          <w:pPr>
                            <w:pStyle w:val="4"/>
                            <w:rPr>
                              <w:rStyle w:val="10"/>
                            </w:rPr>
                          </w:pPr>
                          <w:r>
                            <w:rPr>
                              <w:rStyle w:val="10"/>
                              <w:sz w:val="28"/>
                              <w:szCs w:val="28"/>
                            </w:rPr>
                            <w:fldChar w:fldCharType="begin"/>
                          </w:r>
                          <w:r>
                            <w:rPr>
                              <w:rStyle w:val="10"/>
                              <w:sz w:val="28"/>
                              <w:szCs w:val="28"/>
                            </w:rPr>
                            <w:instrText xml:space="preserve">PAGE  </w:instrText>
                          </w:r>
                          <w:r>
                            <w:rPr>
                              <w:sz w:val="28"/>
                              <w:szCs w:val="28"/>
                            </w:rPr>
                            <w:fldChar w:fldCharType="separate"/>
                          </w:r>
                          <w:r>
                            <w:rPr>
                              <w:rStyle w:val="10"/>
                              <w:sz w:val="28"/>
                              <w:szCs w:val="28"/>
                            </w:rPr>
                            <w:t>8</w:t>
                          </w:r>
                          <w:r>
                            <w:rPr>
                              <w:sz w:val="28"/>
                              <w:szCs w:val="28"/>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aGmCS9MAAAAFAQAADwAAAAAA&#10;AAABACAAAAAiAAAAZHJzL2Rvd25yZXYueG1sUEsBAhQAFAAAAAgAh07iQGJDhwTfAQAAvAMAAA4A&#10;AAAAAAAAAQAgAAAAIgEAAGRycy9lMm9Eb2MueG1sUEsFBgAAAAAGAAYAWQEAAHMFAAAAAA==&#10;">
              <v:fill on="f" focussize="0,0"/>
              <v:stroke on="f" weight="1.25pt"/>
              <v:imagedata o:title=""/>
              <o:lock v:ext="edit" aspectratio="f"/>
              <v:textbox inset="0mm,0mm,0mm,0mm" style="mso-fit-shape-to-text:t;">
                <w:txbxContent>
                  <w:p w14:paraId="23D8B812">
                    <w:pPr>
                      <w:pStyle w:val="4"/>
                      <w:rPr>
                        <w:rStyle w:val="10"/>
                      </w:rPr>
                    </w:pPr>
                    <w:r>
                      <w:rPr>
                        <w:rStyle w:val="10"/>
                        <w:sz w:val="28"/>
                        <w:szCs w:val="28"/>
                      </w:rPr>
                      <w:fldChar w:fldCharType="begin"/>
                    </w:r>
                    <w:r>
                      <w:rPr>
                        <w:rStyle w:val="10"/>
                        <w:sz w:val="28"/>
                        <w:szCs w:val="28"/>
                      </w:rPr>
                      <w:instrText xml:space="preserve">PAGE  </w:instrText>
                    </w:r>
                    <w:r>
                      <w:rPr>
                        <w:sz w:val="28"/>
                        <w:szCs w:val="28"/>
                      </w:rPr>
                      <w:fldChar w:fldCharType="separate"/>
                    </w:r>
                    <w:r>
                      <w:rPr>
                        <w:rStyle w:val="10"/>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B3CE8">
    <w:pPr>
      <w:pStyle w:val="4"/>
      <w:framePr w:wrap="around" w:vAnchor="text" w:hAnchor="margin" w:xAlign="center" w:y="1"/>
      <w:rPr>
        <w:rStyle w:val="10"/>
      </w:rPr>
    </w:pPr>
    <w:r>
      <w:rPr>
        <w:rStyle w:val="10"/>
      </w:rPr>
      <w:fldChar w:fldCharType="begin"/>
    </w:r>
    <w:r>
      <w:rPr>
        <w:rStyle w:val="10"/>
      </w:rPr>
      <w:instrText xml:space="preserve">PAGE  </w:instrText>
    </w:r>
    <w:r>
      <w:fldChar w:fldCharType="separate"/>
    </w:r>
    <w:r>
      <w:fldChar w:fldCharType="end"/>
    </w:r>
  </w:p>
  <w:p w14:paraId="284FB86D">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18873">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FDB14D2"/>
    <w:rsid w:val="3AF7B053"/>
    <w:rsid w:val="3B3D3206"/>
    <w:rsid w:val="3F6A5630"/>
    <w:rsid w:val="5F9D46C1"/>
    <w:rsid w:val="5FFF138F"/>
    <w:rsid w:val="6BF2EE79"/>
    <w:rsid w:val="78B72692"/>
    <w:rsid w:val="7D9A9304"/>
    <w:rsid w:val="7FBA918D"/>
    <w:rsid w:val="8BDF1BA1"/>
    <w:rsid w:val="D7FD00A6"/>
    <w:rsid w:val="DF6F18B6"/>
    <w:rsid w:val="FFFFD375"/>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Body Text"/>
    <w:basedOn w:val="1"/>
    <w:qFormat/>
    <w:uiPriority w:val="0"/>
    <w:pPr>
      <w:spacing w:before="93" w:beforeLines="30"/>
    </w:pPr>
    <w:rPr>
      <w:rFonts w:ascii="仿宋_GB2312" w:eastAsia="仿宋_GB2312"/>
      <w:sz w:val="30"/>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table" w:styleId="8">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0">
    <w:name w:val="page number"/>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pid="2" fmtid="{D5CDD505-2E9C-101B-9397-08002B2CF9AE}" name="KSOProductBuildVer">
    <vt:lpwstr xmlns:vt="http://schemas.openxmlformats.org/officeDocument/2006/docPropsVTypes">2052-11.8.2.12309</vt:lpwstr>
  </property>
  <property xmlns="http://schemas.openxmlformats.org/officeDocument/2006/custom-properties" pid="3" fmtid="{D5CDD505-2E9C-101B-9397-08002B2CF9AE}" name="ICV">
    <vt:lpwstr xmlns:vt="http://schemas.openxmlformats.org/officeDocument/2006/docPropsVTypes">B04F57D4017C4AAC94730B3D75CAABE9</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a0a078e-64d9-446c-b236-8a013ead7d2c}">
  <ds:schemaRefs/>
</ds:datastoreItem>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36</TotalTime>
  <ScaleCrop>false</ScaleCrop>
  <LinksUpToDate>false</LinksUpToDate>
  <CharactersWithSpaces>0</CharactersWithSpaces>
  <Application>WPS Office_12.8.2.17863_F1E327BC-269C-435d-A152-05C5408002CA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2025-06-27T09:23:00Z</dcterms:created>
  <dc:creator>jq</dc:creator>
  <cp:lastModifiedBy>kylin</cp:lastModifiedBy>
  <dcterms:modified xsi:type="dcterms:W3CDTF">2026-10-09T16:58:17Z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2052-12.8.2.17863</vt:lpwstr>
  </property>
  <property fmtid="{D5CDD505-2E9C-101B-9397-08002B2CF9AE}" pid="3" name="ICV">
    <vt:lpwstr>930F4C982410E7195E90C86AB161429F_43</vt:lpwstr>
  </property>
</Properties>
</file>