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1A441">
      <w:pPr>
        <w:keepNext w:val="0"/>
        <w:keepLines w:val="0"/>
        <w:pageBreakBefore w:val="0"/>
        <w:kinsoku/>
        <w:wordWrap/>
        <w:overflowPunct/>
        <w:topLinePunct w:val="0"/>
        <w:autoSpaceDE/>
        <w:autoSpaceDN/>
        <w:bidi w:val="0"/>
        <w:adjustRightInd/>
        <w:spacing w:line="590" w:lineRule="exact"/>
        <w:jc w:val="center"/>
        <w:textAlignment w:val="auto"/>
        <w:outlineLvl w:val="0"/>
        <w:rPr>
          <w:rFonts w:hint="eastAsia" w:ascii="Times New Roman" w:hAnsi="Times New Roman" w:eastAsia="方正小标宋简体" w:cs="方正小标宋简体"/>
          <w:sz w:val="36"/>
          <w:szCs w:val="36"/>
          <w:highlight w:val="none"/>
        </w:rPr>
      </w:pPr>
      <w:r>
        <w:rPr>
          <w:rFonts w:hint="eastAsia" w:ascii="Times New Roman" w:hAnsi="Times New Roman" w:eastAsia="方正小标宋简体"/>
          <w:sz w:val="36"/>
          <w:lang w:val="zh-CN"/>
        </w:rPr>
        <w:t>华宁县机关事务服务中</w:t>
      </w:r>
      <w:r>
        <w:rPr>
          <w:rFonts w:hint="eastAsia" w:ascii="方正小标宋简体" w:hAnsi="方正小标宋简体" w:eastAsia="方正小标宋简体" w:cs="方正小标宋简体"/>
          <w:sz w:val="36"/>
          <w:lang w:val="zh-CN"/>
        </w:rPr>
        <w:t>心</w:t>
      </w:r>
      <w:r>
        <w:rPr>
          <w:rFonts w:hint="eastAsia" w:ascii="方正小标宋简体" w:hAnsi="方正小标宋简体" w:eastAsia="方正小标宋简体" w:cs="方正小标宋简体"/>
          <w:sz w:val="36"/>
          <w:szCs w:val="36"/>
          <w:highlight w:val="none"/>
          <w:lang w:val="en-US" w:eastAsia="zh-CN"/>
        </w:rPr>
        <w:t>2025年</w:t>
      </w:r>
      <w:r>
        <w:rPr>
          <w:rFonts w:hint="eastAsia" w:ascii="Times New Roman" w:hAnsi="Times New Roman" w:eastAsia="方正小标宋简体" w:cs="方正小标宋简体"/>
          <w:sz w:val="36"/>
          <w:szCs w:val="36"/>
          <w:highlight w:val="none"/>
          <w:lang w:val="en-US" w:eastAsia="zh-CN"/>
        </w:rPr>
        <w:t>度</w:t>
      </w:r>
      <w:r>
        <w:rPr>
          <w:rFonts w:hint="eastAsia" w:ascii="Times New Roman" w:hAnsi="Times New Roman" w:eastAsia="方正小标宋简体" w:cs="方正小标宋简体"/>
          <w:sz w:val="36"/>
          <w:szCs w:val="36"/>
          <w:highlight w:val="none"/>
        </w:rPr>
        <w:t>部门决算</w:t>
      </w:r>
    </w:p>
    <w:p w14:paraId="4AB7D819">
      <w:pPr>
        <w:keepNext w:val="0"/>
        <w:keepLines w:val="0"/>
        <w:pageBreakBefore w:val="0"/>
        <w:kinsoku/>
        <w:wordWrap/>
        <w:overflowPunct/>
        <w:topLinePunct w:val="0"/>
        <w:autoSpaceDE/>
        <w:autoSpaceDN/>
        <w:bidi w:val="0"/>
        <w:adjustRightInd/>
        <w:spacing w:line="590" w:lineRule="exact"/>
        <w:jc w:val="center"/>
        <w:textAlignment w:val="auto"/>
        <w:outlineLvl w:val="0"/>
        <w:rPr>
          <w:rFonts w:hint="eastAsia" w:ascii="Times New Roman" w:hAnsi="Times New Roman" w:eastAsia="方正小标宋简体" w:cs="方正小标宋简体"/>
          <w:sz w:val="36"/>
          <w:szCs w:val="36"/>
          <w:highlight w:val="none"/>
          <w:lang w:eastAsia="zh-CN"/>
        </w:rPr>
      </w:pPr>
      <w:r>
        <w:rPr>
          <w:rFonts w:hint="eastAsia" w:ascii="Times New Roman" w:hAnsi="Times New Roman" w:eastAsia="方正小标宋简体" w:cs="方正小标宋简体"/>
          <w:sz w:val="36"/>
          <w:szCs w:val="36"/>
          <w:highlight w:val="none"/>
          <w:lang w:eastAsia="zh-CN"/>
        </w:rPr>
        <w:t>目录</w:t>
      </w:r>
    </w:p>
    <w:p w14:paraId="50419A00">
      <w:pPr>
        <w:keepNext w:val="0"/>
        <w:keepLines w:val="0"/>
        <w:pageBreakBefore w:val="0"/>
        <w:kinsoku/>
        <w:wordWrap/>
        <w:overflowPunct/>
        <w:topLinePunct w:val="0"/>
        <w:autoSpaceDE/>
        <w:autoSpaceDN/>
        <w:bidi w:val="0"/>
        <w:adjustRightInd/>
        <w:spacing w:line="590" w:lineRule="exact"/>
        <w:jc w:val="left"/>
        <w:textAlignment w:val="auto"/>
        <w:rPr>
          <w:rFonts w:hint="eastAsia" w:ascii="Times New Roman" w:hAnsi="Times New Roman" w:eastAsia="黑体"/>
          <w:sz w:val="30"/>
          <w:szCs w:val="30"/>
          <w:highlight w:val="none"/>
        </w:rPr>
      </w:pPr>
    </w:p>
    <w:p w14:paraId="6CAE38F8">
      <w:pPr>
        <w:keepNext w:val="0"/>
        <w:keepLines w:val="0"/>
        <w:pageBreakBefore w:val="0"/>
        <w:kinsoku/>
        <w:wordWrap/>
        <w:overflowPunct/>
        <w:topLinePunct w:val="0"/>
        <w:autoSpaceDE/>
        <w:autoSpaceDN/>
        <w:bidi w:val="0"/>
        <w:adjustRightInd/>
        <w:spacing w:line="590" w:lineRule="exact"/>
        <w:jc w:val="left"/>
        <w:textAlignment w:val="auto"/>
        <w:outlineLvl w:val="0"/>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 xml:space="preserve">第一部分  </w:t>
      </w:r>
      <w:r>
        <w:rPr>
          <w:rFonts w:hint="eastAsia" w:ascii="Times New Roman" w:hAnsi="Times New Roman" w:eastAsia="方正黑体_GBK" w:cs="方正黑体_GBK"/>
          <w:sz w:val="30"/>
          <w:szCs w:val="30"/>
          <w:highlight w:val="none"/>
          <w:lang w:eastAsia="zh-CN"/>
        </w:rPr>
        <w:t>部门</w:t>
      </w:r>
      <w:r>
        <w:rPr>
          <w:rFonts w:hint="eastAsia" w:ascii="Times New Roman" w:hAnsi="Times New Roman" w:eastAsia="方正黑体_GBK" w:cs="方正黑体_GBK"/>
          <w:sz w:val="30"/>
          <w:szCs w:val="30"/>
          <w:highlight w:val="none"/>
        </w:rPr>
        <w:t>概况</w:t>
      </w:r>
    </w:p>
    <w:p w14:paraId="246599DD">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一、主要职</w:t>
      </w:r>
      <w:r>
        <w:rPr>
          <w:rFonts w:hint="eastAsia" w:ascii="Times New Roman" w:hAnsi="Times New Roman" w:eastAsia="楷体"/>
          <w:sz w:val="30"/>
          <w:szCs w:val="30"/>
          <w:highlight w:val="none"/>
          <w:lang w:eastAsia="zh-CN"/>
        </w:rPr>
        <w:t>责</w:t>
      </w:r>
      <w:bookmarkStart w:id="0" w:name="_GoBack"/>
      <w:bookmarkEnd w:id="0"/>
    </w:p>
    <w:p w14:paraId="77202CC0">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二、</w:t>
      </w:r>
      <w:r>
        <w:rPr>
          <w:rFonts w:hint="eastAsia" w:ascii="Times New Roman" w:hAnsi="Times New Roman" w:eastAsia="楷体"/>
          <w:sz w:val="30"/>
          <w:szCs w:val="30"/>
          <w:highlight w:val="none"/>
          <w:lang w:eastAsia="zh-CN"/>
        </w:rPr>
        <w:t>基本情况</w:t>
      </w:r>
    </w:p>
    <w:p w14:paraId="398EDCA4">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三、重点工作概述</w:t>
      </w:r>
    </w:p>
    <w:p w14:paraId="6C431375">
      <w:pPr>
        <w:keepNext w:val="0"/>
        <w:keepLines w:val="0"/>
        <w:pageBreakBefore w:val="0"/>
        <w:kinsoku/>
        <w:wordWrap/>
        <w:overflowPunct/>
        <w:topLinePunct w:val="0"/>
        <w:autoSpaceDE/>
        <w:autoSpaceDN/>
        <w:bidi w:val="0"/>
        <w:adjustRightInd/>
        <w:spacing w:line="590" w:lineRule="exact"/>
        <w:jc w:val="left"/>
        <w:textAlignment w:val="auto"/>
        <w:outlineLvl w:val="0"/>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 xml:space="preserve">第二部分  </w:t>
      </w:r>
      <w:r>
        <w:rPr>
          <w:rFonts w:hint="eastAsia" w:ascii="Times New Roman" w:hAnsi="Times New Roman" w:eastAsia="方正黑体_GBK" w:cs="方正黑体_GBK"/>
          <w:sz w:val="30"/>
          <w:szCs w:val="30"/>
          <w:highlight w:val="none"/>
          <w:lang w:val="en-US" w:eastAsia="zh-CN"/>
        </w:rPr>
        <w:t>2025年度</w:t>
      </w:r>
      <w:r>
        <w:rPr>
          <w:rFonts w:hint="eastAsia" w:ascii="Times New Roman" w:hAnsi="Times New Roman" w:eastAsia="方正黑体_GBK" w:cs="方正黑体_GBK"/>
          <w:sz w:val="30"/>
          <w:szCs w:val="30"/>
          <w:highlight w:val="none"/>
        </w:rPr>
        <w:t>部门决算表</w:t>
      </w:r>
    </w:p>
    <w:p w14:paraId="502EAAA2">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一、收入支出决算表</w:t>
      </w:r>
    </w:p>
    <w:p w14:paraId="692710C6">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二、收入决算表</w:t>
      </w:r>
    </w:p>
    <w:p w14:paraId="57B9787C">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三、支出决算表</w:t>
      </w:r>
    </w:p>
    <w:p w14:paraId="21150839">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四、财政拨款收入支出决算表</w:t>
      </w:r>
    </w:p>
    <w:p w14:paraId="6D1CEFD0">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五、一般公共预算财政拨款收入支出决算表</w:t>
      </w:r>
    </w:p>
    <w:p w14:paraId="742EB8AA">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六、一般公共预算财政拨款基本支出决算表</w:t>
      </w:r>
    </w:p>
    <w:p w14:paraId="4CA76C86">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七、</w:t>
      </w:r>
      <w:r>
        <w:rPr>
          <w:rFonts w:hint="eastAsia" w:ascii="Times New Roman" w:hAnsi="Times New Roman" w:eastAsia="楷体"/>
          <w:sz w:val="30"/>
          <w:szCs w:val="30"/>
          <w:highlight w:val="none"/>
          <w:lang w:eastAsia="zh-CN"/>
        </w:rPr>
        <w:t>一般公共预算财政拨款项目支出决算表</w:t>
      </w:r>
    </w:p>
    <w:p w14:paraId="06FD977E">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八</w:t>
      </w:r>
      <w:r>
        <w:rPr>
          <w:rFonts w:hint="eastAsia" w:ascii="Times New Roman" w:hAnsi="Times New Roman" w:eastAsia="楷体"/>
          <w:sz w:val="30"/>
          <w:szCs w:val="30"/>
          <w:highlight w:val="none"/>
        </w:rPr>
        <w:t>、政府性基金预算财政拨款收入支出决算表</w:t>
      </w:r>
    </w:p>
    <w:p w14:paraId="1FFF13A0">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九、国有资本经营预算财政拨款收入支出决算表</w:t>
      </w:r>
    </w:p>
    <w:p w14:paraId="4CD55130">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十</w:t>
      </w:r>
      <w:r>
        <w:rPr>
          <w:rFonts w:hint="eastAsia" w:ascii="Times New Roman" w:hAnsi="Times New Roman" w:eastAsia="楷体"/>
          <w:sz w:val="30"/>
          <w:szCs w:val="30"/>
          <w:highlight w:val="none"/>
        </w:rPr>
        <w:t>、</w:t>
      </w:r>
      <w:r>
        <w:rPr>
          <w:rFonts w:hint="eastAsia" w:ascii="Times New Roman" w:hAnsi="Times New Roman" w:eastAsia="楷体"/>
          <w:sz w:val="30"/>
          <w:szCs w:val="30"/>
          <w:highlight w:val="none"/>
          <w:lang w:eastAsia="zh-CN"/>
        </w:rPr>
        <w:t>财政拨款</w:t>
      </w:r>
      <w:r>
        <w:rPr>
          <w:rFonts w:hint="eastAsia" w:ascii="Times New Roman" w:hAnsi="Times New Roman" w:eastAsia="楷体"/>
          <w:sz w:val="30"/>
          <w:szCs w:val="30"/>
          <w:highlight w:val="none"/>
        </w:rPr>
        <w:t>“三公”经费、行政参公单位机关运行经费情况表</w:t>
      </w:r>
    </w:p>
    <w:p w14:paraId="19487763">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val="en-US" w:eastAsia="zh-CN"/>
        </w:rPr>
        <w:t>十一、一般公共预算财政拨款“三公”经费情况表</w:t>
      </w:r>
    </w:p>
    <w:p w14:paraId="0BB6B1D6">
      <w:pPr>
        <w:keepNext w:val="0"/>
        <w:keepLines w:val="0"/>
        <w:pageBreakBefore w:val="0"/>
        <w:kinsoku/>
        <w:wordWrap/>
        <w:overflowPunct/>
        <w:topLinePunct w:val="0"/>
        <w:autoSpaceDE/>
        <w:autoSpaceDN/>
        <w:bidi w:val="0"/>
        <w:adjustRightInd/>
        <w:spacing w:line="590" w:lineRule="exact"/>
        <w:jc w:val="left"/>
        <w:textAlignment w:val="auto"/>
        <w:outlineLvl w:val="0"/>
        <w:rPr>
          <w:rFonts w:hint="eastAsia" w:ascii="Times New Roman" w:hAnsi="Times New Roman" w:eastAsia="楷体"/>
          <w:sz w:val="30"/>
          <w:szCs w:val="30"/>
          <w:highlight w:val="none"/>
        </w:rPr>
      </w:pPr>
      <w:r>
        <w:rPr>
          <w:rFonts w:hint="eastAsia" w:ascii="Times New Roman" w:hAnsi="Times New Roman" w:eastAsia="方正黑体_GBK" w:cs="方正黑体_GBK"/>
          <w:sz w:val="30"/>
          <w:szCs w:val="30"/>
          <w:highlight w:val="none"/>
        </w:rPr>
        <w:t>第三部</w:t>
      </w:r>
      <w:r>
        <w:rPr>
          <w:rFonts w:hint="eastAsia" w:ascii="Times New Roman" w:hAnsi="Times New Roman" w:eastAsia="方正黑体_GBK" w:cs="方正黑体_GBK"/>
          <w:sz w:val="30"/>
          <w:szCs w:val="30"/>
          <w:highlight w:val="none"/>
          <w:lang w:eastAsia="zh-CN"/>
        </w:rPr>
        <w:t>分</w:t>
      </w:r>
      <w:r>
        <w:rPr>
          <w:rFonts w:hint="eastAsia" w:ascii="Times New Roman" w:hAnsi="Times New Roman" w:eastAsia="方正黑体_GBK" w:cs="方正黑体_GBK"/>
          <w:sz w:val="30"/>
          <w:szCs w:val="30"/>
          <w:highlight w:val="none"/>
        </w:rPr>
        <w:t xml:space="preserve">  </w:t>
      </w:r>
      <w:r>
        <w:rPr>
          <w:rFonts w:hint="eastAsia" w:ascii="Times New Roman" w:hAnsi="Times New Roman" w:eastAsia="方正黑体_GBK" w:cs="方正黑体_GBK"/>
          <w:sz w:val="30"/>
          <w:szCs w:val="30"/>
          <w:highlight w:val="none"/>
          <w:lang w:val="en-US" w:eastAsia="zh-CN"/>
        </w:rPr>
        <w:t>2025年度</w:t>
      </w:r>
      <w:r>
        <w:rPr>
          <w:rFonts w:hint="eastAsia" w:ascii="Times New Roman" w:hAnsi="Times New Roman" w:eastAsia="方正黑体_GBK" w:cs="方正黑体_GBK"/>
          <w:sz w:val="30"/>
          <w:szCs w:val="30"/>
          <w:highlight w:val="none"/>
        </w:rPr>
        <w:t>部门决算情况说明</w:t>
      </w:r>
    </w:p>
    <w:p w14:paraId="145BF4D7">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一、收入决算情况说明</w:t>
      </w:r>
    </w:p>
    <w:p w14:paraId="2EFEB61B">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二、支出决算情况说明</w:t>
      </w:r>
    </w:p>
    <w:p w14:paraId="14DE08C1">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三、一般公共预算财政拨款支出决算情况说明</w:t>
      </w:r>
    </w:p>
    <w:p w14:paraId="5BCA0A57">
      <w:pPr>
        <w:keepNext w:val="0"/>
        <w:keepLines w:val="0"/>
        <w:pageBreakBefore w:val="0"/>
        <w:widowControl/>
        <w:kinsoku/>
        <w:wordWrap/>
        <w:overflowPunct/>
        <w:topLinePunct w:val="0"/>
        <w:autoSpaceDE/>
        <w:autoSpaceDN/>
        <w:bidi w:val="0"/>
        <w:adjustRightInd/>
        <w:snapToGrid w:val="0"/>
        <w:spacing w:before="100" w:after="100"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四、财政拨款“三公”经费支出决算情况说明</w:t>
      </w:r>
    </w:p>
    <w:p w14:paraId="4F0B1E67">
      <w:pPr>
        <w:keepNext w:val="0"/>
        <w:keepLines w:val="0"/>
        <w:pageBreakBefore w:val="0"/>
        <w:widowControl/>
        <w:kinsoku/>
        <w:wordWrap/>
        <w:overflowPunct/>
        <w:topLinePunct w:val="0"/>
        <w:autoSpaceDE/>
        <w:autoSpaceDN/>
        <w:bidi w:val="0"/>
        <w:adjustRightInd/>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方正黑体_GBK" w:cs="方正黑体_GBK"/>
          <w:sz w:val="30"/>
          <w:szCs w:val="30"/>
          <w:highlight w:val="none"/>
          <w:lang w:eastAsia="zh-CN"/>
        </w:rPr>
        <w:t>第四部分</w:t>
      </w:r>
      <w:r>
        <w:rPr>
          <w:rFonts w:hint="eastAsia" w:ascii="Times New Roman" w:hAnsi="Times New Roman" w:eastAsia="方正黑体_GBK" w:cs="方正黑体_GBK"/>
          <w:sz w:val="30"/>
          <w:szCs w:val="30"/>
          <w:highlight w:val="none"/>
          <w:lang w:val="en-US" w:eastAsia="zh-CN"/>
        </w:rPr>
        <w:t xml:space="preserve">  </w:t>
      </w:r>
      <w:r>
        <w:rPr>
          <w:rFonts w:hint="eastAsia" w:ascii="Times New Roman" w:hAnsi="Times New Roman" w:eastAsia="方正黑体_GBK" w:cs="方正黑体_GBK"/>
          <w:sz w:val="30"/>
          <w:szCs w:val="30"/>
          <w:highlight w:val="none"/>
        </w:rPr>
        <w:t>其他重要事项及相关口径情况说明</w:t>
      </w:r>
    </w:p>
    <w:p w14:paraId="6C9E1D54">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一、</w:t>
      </w:r>
      <w:r>
        <w:rPr>
          <w:rFonts w:hint="eastAsia" w:ascii="Times New Roman" w:hAnsi="Times New Roman" w:eastAsia="楷体"/>
          <w:sz w:val="30"/>
          <w:szCs w:val="30"/>
          <w:highlight w:val="none"/>
        </w:rPr>
        <w:t>机关运行经费支出情况</w:t>
      </w:r>
    </w:p>
    <w:p w14:paraId="6B3768BD">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二、</w:t>
      </w:r>
      <w:r>
        <w:rPr>
          <w:rFonts w:hint="eastAsia" w:ascii="Times New Roman" w:hAnsi="Times New Roman" w:eastAsia="楷体"/>
          <w:sz w:val="30"/>
          <w:szCs w:val="30"/>
          <w:highlight w:val="none"/>
        </w:rPr>
        <w:t>国有资产占用情况</w:t>
      </w:r>
    </w:p>
    <w:p w14:paraId="124C9DA9">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w:t>
      </w:r>
      <w:r>
        <w:rPr>
          <w:rFonts w:hint="eastAsia" w:ascii="Times New Roman" w:hAnsi="Times New Roman" w:eastAsia="楷体"/>
          <w:sz w:val="30"/>
          <w:szCs w:val="30"/>
          <w:highlight w:val="none"/>
        </w:rPr>
        <w:t>政府采购支出情况</w:t>
      </w:r>
    </w:p>
    <w:p w14:paraId="65D2C3F5">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四、</w:t>
      </w:r>
      <w:r>
        <w:rPr>
          <w:rFonts w:hint="eastAsia" w:ascii="Times New Roman" w:hAnsi="Times New Roman" w:eastAsia="楷体"/>
          <w:sz w:val="30"/>
          <w:szCs w:val="30"/>
          <w:highlight w:val="none"/>
          <w:lang w:val="en-US" w:eastAsia="zh-CN"/>
        </w:rPr>
        <w:t>部门绩效自评情况</w:t>
      </w:r>
    </w:p>
    <w:p w14:paraId="1DC93C75">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五、</w:t>
      </w:r>
      <w:r>
        <w:rPr>
          <w:rFonts w:hint="eastAsia" w:ascii="Times New Roman" w:hAnsi="Times New Roman" w:eastAsia="楷体"/>
          <w:sz w:val="30"/>
          <w:szCs w:val="30"/>
          <w:highlight w:val="none"/>
          <w:lang w:val="en-US" w:eastAsia="zh-CN"/>
        </w:rPr>
        <w:t>其他重要事项情况说明</w:t>
      </w:r>
    </w:p>
    <w:p w14:paraId="69E1F2F6">
      <w:pPr>
        <w:keepNext w:val="0"/>
        <w:keepLines w:val="0"/>
        <w:pageBreakBefore w:val="0"/>
        <w:kinsoku/>
        <w:wordWrap/>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六、相关口径说明</w:t>
      </w:r>
    </w:p>
    <w:p w14:paraId="0B72273F">
      <w:pPr>
        <w:keepNext w:val="0"/>
        <w:keepLines w:val="0"/>
        <w:pageBreakBefore w:val="0"/>
        <w:widowControl/>
        <w:kinsoku/>
        <w:wordWrap/>
        <w:overflowPunct/>
        <w:topLinePunct w:val="0"/>
        <w:autoSpaceDE/>
        <w:autoSpaceDN/>
        <w:bidi w:val="0"/>
        <w:adjustRightInd/>
        <w:snapToGrid w:val="0"/>
        <w:spacing w:before="100" w:after="100" w:line="590" w:lineRule="exact"/>
        <w:jc w:val="left"/>
        <w:textAlignment w:val="auto"/>
        <w:outlineLvl w:val="0"/>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第五部分  名词解释</w:t>
      </w:r>
    </w:p>
    <w:p w14:paraId="5165FE4F">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35FD3C1D">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21F21307">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031982E9">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771C5317">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6158E797">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7D974973">
      <w:pPr>
        <w:keepNext w:val="0"/>
        <w:keepLines w:val="0"/>
        <w:pageBreakBefore w:val="0"/>
        <w:kinsoku/>
        <w:wordWrap/>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7B10964A">
      <w:pPr>
        <w:keepNext w:val="0"/>
        <w:keepLines w:val="0"/>
        <w:pageBreakBefore w:val="0"/>
        <w:kinsoku/>
        <w:wordWrap/>
        <w:overflowPunct/>
        <w:topLinePunct w:val="0"/>
        <w:autoSpaceDE/>
        <w:autoSpaceDN/>
        <w:bidi w:val="0"/>
        <w:adjustRightInd/>
        <w:spacing w:line="590" w:lineRule="exact"/>
        <w:jc w:val="both"/>
        <w:textAlignment w:val="auto"/>
        <w:rPr>
          <w:rFonts w:hint="eastAsia" w:ascii="Times New Roman" w:hAnsi="Times New Roman" w:eastAsia="黑体"/>
          <w:sz w:val="32"/>
          <w:szCs w:val="32"/>
          <w:highlight w:val="none"/>
        </w:rPr>
      </w:pPr>
    </w:p>
    <w:p w14:paraId="7D438125">
      <w:pPr>
        <w:keepNext w:val="0"/>
        <w:keepLines w:val="0"/>
        <w:pageBreakBefore w:val="0"/>
        <w:kinsoku/>
        <w:wordWrap/>
        <w:overflowPunct/>
        <w:topLinePunct w:val="0"/>
        <w:autoSpaceDE/>
        <w:autoSpaceDN/>
        <w:bidi w:val="0"/>
        <w:adjustRightInd/>
        <w:spacing w:line="590" w:lineRule="exact"/>
        <w:jc w:val="both"/>
        <w:textAlignment w:val="auto"/>
        <w:rPr>
          <w:rFonts w:hint="eastAsia" w:ascii="Times New Roman" w:hAnsi="Times New Roman" w:eastAsia="黑体"/>
          <w:sz w:val="32"/>
          <w:szCs w:val="32"/>
          <w:highlight w:val="none"/>
        </w:rPr>
      </w:pPr>
    </w:p>
    <w:p w14:paraId="05CC5CF2">
      <w:pPr>
        <w:keepNext w:val="0"/>
        <w:keepLines w:val="0"/>
        <w:pageBreakBefore w:val="0"/>
        <w:kinsoku/>
        <w:wordWrap/>
        <w:overflowPunct/>
        <w:topLinePunct w:val="0"/>
        <w:autoSpaceDE/>
        <w:autoSpaceDN/>
        <w:bidi w:val="0"/>
        <w:adjustRightInd/>
        <w:spacing w:line="590" w:lineRule="exact"/>
        <w:jc w:val="both"/>
        <w:textAlignment w:val="auto"/>
        <w:rPr>
          <w:rFonts w:hint="eastAsia" w:ascii="Times New Roman" w:hAnsi="Times New Roman" w:eastAsia="黑体"/>
          <w:sz w:val="32"/>
          <w:szCs w:val="32"/>
          <w:highlight w:val="none"/>
        </w:rPr>
      </w:pPr>
    </w:p>
    <w:p w14:paraId="1F3A53D5">
      <w:pPr>
        <w:keepNext w:val="0"/>
        <w:keepLines w:val="0"/>
        <w:pageBreakBefore w:val="0"/>
        <w:kinsoku/>
        <w:wordWrap/>
        <w:overflowPunct/>
        <w:topLinePunct w:val="0"/>
        <w:autoSpaceDE/>
        <w:autoSpaceDN/>
        <w:bidi w:val="0"/>
        <w:adjustRightInd/>
        <w:spacing w:line="590" w:lineRule="exact"/>
        <w:jc w:val="center"/>
        <w:textAlignment w:val="auto"/>
        <w:outlineLvl w:val="0"/>
        <w:rPr>
          <w:rFonts w:hint="eastAsia" w:ascii="Times New Roman" w:hAnsi="Times New Roman" w:eastAsia="黑体"/>
          <w:sz w:val="32"/>
          <w:szCs w:val="32"/>
          <w:highlight w:val="none"/>
        </w:rPr>
      </w:pPr>
    </w:p>
    <w:p w14:paraId="45800E08">
      <w:pPr>
        <w:keepNext w:val="0"/>
        <w:keepLines w:val="0"/>
        <w:pageBreakBefore w:val="0"/>
        <w:kinsoku/>
        <w:wordWrap/>
        <w:overflowPunct/>
        <w:topLinePunct w:val="0"/>
        <w:autoSpaceDE/>
        <w:autoSpaceDN/>
        <w:bidi w:val="0"/>
        <w:adjustRightInd/>
        <w:spacing w:line="590" w:lineRule="exact"/>
        <w:jc w:val="center"/>
        <w:textAlignment w:val="auto"/>
        <w:outlineLvl w:val="0"/>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 xml:space="preserve">第一部分  </w:t>
      </w:r>
      <w:r>
        <w:rPr>
          <w:rFonts w:hint="eastAsia" w:ascii="Times New Roman" w:hAnsi="Times New Roman" w:eastAsia="黑体"/>
          <w:sz w:val="32"/>
          <w:szCs w:val="32"/>
          <w:highlight w:val="none"/>
          <w:lang w:eastAsia="zh-CN"/>
        </w:rPr>
        <w:t>部门概况</w:t>
      </w:r>
    </w:p>
    <w:p w14:paraId="49DED1EC">
      <w:pPr>
        <w:keepNext w:val="0"/>
        <w:keepLines w:val="0"/>
        <w:pageBreakBefore w:val="0"/>
        <w:kinsoku/>
        <w:wordWrap/>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黑体"/>
          <w:sz w:val="30"/>
          <w:szCs w:val="30"/>
          <w:highlight w:val="none"/>
          <w:lang w:eastAsia="zh-CN"/>
        </w:rPr>
      </w:pPr>
      <w:r>
        <w:rPr>
          <w:rFonts w:hint="eastAsia" w:ascii="Times New Roman" w:hAnsi="Times New Roman" w:eastAsia="方正黑体_GBK" w:cs="方正黑体_GBK"/>
          <w:sz w:val="30"/>
          <w:szCs w:val="30"/>
          <w:highlight w:val="none"/>
          <w:lang w:eastAsia="zh-CN"/>
        </w:rPr>
        <w:t>一、主要职责</w:t>
      </w:r>
    </w:p>
    <w:p w14:paraId="1461BDE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方正楷体_GBK" w:hAnsi="方正楷体_GBK" w:eastAsia="方正楷体_GBK" w:cs="方正楷体_GBK"/>
          <w:sz w:val="30"/>
          <w:szCs w:val="30"/>
          <w:highlight w:val="none"/>
          <w:lang w:val="zh-CN" w:eastAsia="zh-CN"/>
        </w:rPr>
        <w:t>（一）</w:t>
      </w:r>
      <w:r>
        <w:rPr>
          <w:rFonts w:hint="eastAsia" w:ascii="Times New Roman" w:hAnsi="Times New Roman" w:eastAsia="方正仿宋_GBK" w:cs="方正仿宋_GBK"/>
          <w:sz w:val="30"/>
          <w:szCs w:val="30"/>
          <w:highlight w:val="none"/>
          <w:lang w:val="zh-CN" w:eastAsia="zh-CN"/>
        </w:rPr>
        <w:t>负责华宁县机关事务的管理、保障、服务工作，贯彻执行机关事务相关政策并组织实施，研究制定县级机关事务工作规章制度并组织实施。</w:t>
      </w:r>
    </w:p>
    <w:p w14:paraId="2E361C55">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方正楷体_GBK" w:hAnsi="方正楷体_GBK" w:eastAsia="方正楷体_GBK" w:cs="方正楷体_GBK"/>
          <w:sz w:val="30"/>
          <w:szCs w:val="30"/>
          <w:highlight w:val="none"/>
          <w:lang w:val="zh-CN" w:eastAsia="zh-CN"/>
        </w:rPr>
        <w:t>（二）</w:t>
      </w:r>
      <w:r>
        <w:rPr>
          <w:rFonts w:hint="eastAsia" w:ascii="Times New Roman" w:hAnsi="Times New Roman" w:eastAsia="方正仿宋_GBK" w:cs="方正仿宋_GBK"/>
          <w:sz w:val="30"/>
          <w:szCs w:val="30"/>
          <w:highlight w:val="none"/>
          <w:lang w:val="zh-CN" w:eastAsia="zh-CN"/>
        </w:rPr>
        <w:t>贯彻执行县级机关财务管理有关规章制度并组织实施。提出县级机关加强行政运行经费、机关服务经费的建议。负责县级党政机关办公用房建设与维修项目经费、公务用车经费等专项经费的管理。</w:t>
      </w:r>
    </w:p>
    <w:p w14:paraId="55BB963F">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方正楷体_GBK" w:hAnsi="方正楷体_GBK" w:eastAsia="方正楷体_GBK" w:cs="方正楷体_GBK"/>
          <w:sz w:val="30"/>
          <w:szCs w:val="30"/>
          <w:highlight w:val="none"/>
          <w:lang w:val="zh-CN" w:eastAsia="zh-CN"/>
        </w:rPr>
        <w:t>（三）</w:t>
      </w:r>
      <w:r>
        <w:rPr>
          <w:rFonts w:hint="eastAsia" w:ascii="Times New Roman" w:hAnsi="Times New Roman" w:eastAsia="方正仿宋_GBK" w:cs="方正仿宋_GBK"/>
          <w:sz w:val="30"/>
          <w:szCs w:val="30"/>
          <w:highlight w:val="none"/>
          <w:lang w:val="zh-CN" w:eastAsia="zh-CN"/>
        </w:rPr>
        <w:t>负责县级党政机关办公用房（县政府一、二办公区）管理维护及安全保卫、绿化卫生、会议室管理、食堂管理等后勤服务保障工作。</w:t>
      </w:r>
    </w:p>
    <w:p w14:paraId="7307A69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方正楷体_GBK" w:hAnsi="方正楷体_GBK" w:eastAsia="方正楷体_GBK" w:cs="方正楷体_GBK"/>
          <w:sz w:val="30"/>
          <w:szCs w:val="30"/>
          <w:highlight w:val="none"/>
          <w:lang w:val="zh-CN" w:eastAsia="zh-CN"/>
        </w:rPr>
        <w:t>（</w:t>
      </w:r>
      <w:r>
        <w:rPr>
          <w:rFonts w:hint="eastAsia" w:ascii="方正楷体_GBK" w:hAnsi="方正楷体_GBK" w:eastAsia="方正楷体_GBK" w:cs="方正楷体_GBK"/>
          <w:sz w:val="30"/>
          <w:szCs w:val="30"/>
          <w:highlight w:val="none"/>
          <w:lang w:val="zh-CN" w:eastAsia="zh-CN"/>
        </w:rPr>
        <w:t>四）</w:t>
      </w:r>
      <w:r>
        <w:rPr>
          <w:rFonts w:hint="eastAsia" w:ascii="Times New Roman" w:hAnsi="Times New Roman" w:eastAsia="方正仿宋_GBK" w:cs="方正仿宋_GBK"/>
          <w:sz w:val="30"/>
          <w:szCs w:val="30"/>
          <w:highlight w:val="none"/>
          <w:lang w:val="zh-CN" w:eastAsia="zh-CN"/>
        </w:rPr>
        <w:t>按规定承担县级党政机关交流干部周转住房管理服务工作。</w:t>
      </w:r>
    </w:p>
    <w:p w14:paraId="770E252C">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方正楷体_GBK" w:hAnsi="方正楷体_GBK" w:eastAsia="方正楷体_GBK" w:cs="方正楷体_GBK"/>
          <w:sz w:val="30"/>
          <w:szCs w:val="30"/>
          <w:highlight w:val="none"/>
          <w:lang w:val="zh-CN" w:eastAsia="zh-CN"/>
        </w:rPr>
        <w:t>（五）</w:t>
      </w:r>
      <w:r>
        <w:rPr>
          <w:rFonts w:hint="eastAsia" w:ascii="Times New Roman" w:hAnsi="Times New Roman" w:eastAsia="方正仿宋_GBK" w:cs="方正仿宋_GBK"/>
          <w:sz w:val="30"/>
          <w:szCs w:val="30"/>
          <w:highlight w:val="none"/>
          <w:lang w:val="zh-CN" w:eastAsia="zh-CN"/>
        </w:rPr>
        <w:t>负责指导、协调、推进、监督全县公共机构节能工作，组织实施县级公共机构节能工作。</w:t>
      </w:r>
    </w:p>
    <w:p w14:paraId="7323257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方正楷体_GBK" w:hAnsi="方正楷体_GBK" w:eastAsia="方正楷体_GBK" w:cs="方正楷体_GBK"/>
          <w:sz w:val="30"/>
          <w:szCs w:val="30"/>
          <w:highlight w:val="none"/>
          <w:lang w:val="zh-CN" w:eastAsia="zh-CN"/>
        </w:rPr>
        <w:t>（六）</w:t>
      </w:r>
      <w:r>
        <w:rPr>
          <w:rFonts w:hint="eastAsia" w:ascii="Times New Roman" w:hAnsi="Times New Roman" w:eastAsia="方正仿宋_GBK" w:cs="方正仿宋_GBK"/>
          <w:sz w:val="30"/>
          <w:szCs w:val="30"/>
          <w:highlight w:val="none"/>
          <w:lang w:val="zh-CN" w:eastAsia="zh-CN"/>
        </w:rPr>
        <w:t>贯彻执行党政机关公务用车管理规章制度并组织实施。会同有关部门推进全县公务用车制度改革工作。按照政府采购法律法规和国家有关政策规定，配合做好县级党政机关公务用车集中采购。负责县公务用车保障平台公务用车编制、配置、调配、更新、报废及平台预约服务系统管理工作，参与全县公务用车管理工作。</w:t>
      </w:r>
    </w:p>
    <w:p w14:paraId="0DC0F61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方正楷体_GBK" w:hAnsi="方正楷体_GBK" w:eastAsia="方正楷体_GBK" w:cs="方正楷体_GBK"/>
          <w:sz w:val="30"/>
          <w:szCs w:val="30"/>
          <w:highlight w:val="none"/>
          <w:lang w:val="zh-CN" w:eastAsia="zh-CN"/>
        </w:rPr>
        <w:t>（七）</w:t>
      </w:r>
      <w:r>
        <w:rPr>
          <w:rFonts w:hint="eastAsia" w:ascii="Times New Roman" w:hAnsi="Times New Roman" w:eastAsia="方正仿宋_GBK" w:cs="方正仿宋_GBK"/>
          <w:sz w:val="30"/>
          <w:szCs w:val="30"/>
          <w:highlight w:val="none"/>
          <w:lang w:val="zh-CN" w:eastAsia="zh-CN"/>
        </w:rPr>
        <w:t>贯彻落实中央和省、市、县关于接待工作的政策规定并组织实施。承担到我县的副厅及其以上领导的各类调研、检查等接待工作，承担外县区主要领导带队到我县交流的接待工作，协助做好商务接待工作。负责机关重要会议的服务保障，承担全县大型会议以及重大节庆活动接待服务工作。</w:t>
      </w:r>
    </w:p>
    <w:p w14:paraId="1C770F0B">
      <w:pPr>
        <w:keepNext w:val="0"/>
        <w:keepLines w:val="0"/>
        <w:pageBreakBefore w:val="0"/>
        <w:kinsoku/>
        <w:wordWrap/>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二、基本情况</w:t>
      </w:r>
    </w:p>
    <w:p w14:paraId="264954A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方正楷体_GBK" w:hAnsi="方正楷体_GBK" w:eastAsia="方正楷体_GBK" w:cs="方正楷体_GBK"/>
          <w:sz w:val="30"/>
          <w:szCs w:val="30"/>
          <w:highlight w:val="none"/>
          <w:lang w:val="zh-CN" w:eastAsia="zh-CN"/>
        </w:rPr>
      </w:pPr>
      <w:r>
        <w:rPr>
          <w:rFonts w:hint="eastAsia" w:ascii="方正楷体_GBK" w:hAnsi="方正楷体_GBK" w:eastAsia="方正楷体_GBK" w:cs="方正楷体_GBK"/>
          <w:sz w:val="30"/>
          <w:szCs w:val="30"/>
          <w:highlight w:val="none"/>
          <w:lang w:val="zh-CN" w:eastAsia="zh-CN"/>
        </w:rPr>
        <w:t>（一）机构设置情况</w:t>
      </w:r>
    </w:p>
    <w:p w14:paraId="2BD6DC3F">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我部门共设置3个内设机构，包括：综合股、公车管理股、服务保障股。</w:t>
      </w:r>
    </w:p>
    <w:p w14:paraId="633A28B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所属单位0个。</w:t>
      </w:r>
    </w:p>
    <w:p w14:paraId="4B0A9A80">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
          <w:sz w:val="30"/>
          <w:szCs w:val="30"/>
          <w:highlight w:val="none"/>
          <w:lang w:eastAsia="zh-CN"/>
        </w:rPr>
      </w:pPr>
      <w:r>
        <w:rPr>
          <w:rFonts w:hint="eastAsia" w:ascii="方正楷体_GBK" w:hAnsi="方正楷体_GBK" w:eastAsia="方正楷体_GBK" w:cs="方正楷体_GBK"/>
          <w:sz w:val="30"/>
          <w:szCs w:val="30"/>
          <w:highlight w:val="none"/>
          <w:lang w:val="zh-CN" w:eastAsia="zh-CN"/>
        </w:rPr>
        <w:t>（二）决算单位构成情况</w:t>
      </w:r>
    </w:p>
    <w:p w14:paraId="4B7AC93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纳入我部门2025年度部门决算编报的单位共1个。分别是：</w:t>
      </w:r>
    </w:p>
    <w:p w14:paraId="294CEB6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1.华宁县机关事务服务中心 </w:t>
      </w:r>
    </w:p>
    <w:p w14:paraId="49105ED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纳入我部门2025年度部门决算编报的单位与我部门所属单位范围保持一致。</w:t>
      </w:r>
    </w:p>
    <w:p w14:paraId="56AB1F49">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方正楷体_GBK" w:hAnsi="方正楷体_GBK" w:eastAsia="方正楷体_GBK" w:cs="方正楷体_GBK"/>
          <w:sz w:val="30"/>
          <w:szCs w:val="30"/>
          <w:highlight w:val="none"/>
          <w:lang w:val="zh-CN" w:eastAsia="zh-CN"/>
        </w:rPr>
      </w:pPr>
      <w:r>
        <w:rPr>
          <w:rFonts w:hint="eastAsia" w:ascii="方正楷体_GBK" w:hAnsi="方正楷体_GBK" w:eastAsia="方正楷体_GBK" w:cs="方正楷体_GBK"/>
          <w:sz w:val="30"/>
          <w:szCs w:val="30"/>
          <w:highlight w:val="none"/>
          <w:lang w:val="zh-CN" w:eastAsia="zh-CN"/>
        </w:rPr>
        <w:t>（三）部门人员和车辆的编制及实有情况</w:t>
      </w:r>
    </w:p>
    <w:p w14:paraId="65871AF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我部门2025年末编制内实有人员8人。包括财政拨款开支经费的：公务员0人，参照公务员法管理人员0人，事业管理人员和专业技术人员7人，机关和事业工人1人；经费自理人员0人。</w:t>
      </w:r>
    </w:p>
    <w:p w14:paraId="02F670C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我部门2025年末其他人员0人。包括财政拨款开支经费的人员0人；经费自理人员0人。</w:t>
      </w:r>
    </w:p>
    <w:p w14:paraId="4D2A84B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年末单位发放离退休费的离退休人员共计0人（离休0人，退休0人）。年末由养老保险基金发放养老金的离退休人员0人（离休0人，退休0人）。</w:t>
      </w:r>
    </w:p>
    <w:p w14:paraId="43DDB64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车辆编制39辆，在编实有车辆26辆，超编0辆。</w:t>
      </w:r>
    </w:p>
    <w:p w14:paraId="7A31E7BC">
      <w:pPr>
        <w:keepNext w:val="0"/>
        <w:keepLines w:val="0"/>
        <w:pageBreakBefore w:val="0"/>
        <w:kinsoku/>
        <w:wordWrap/>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三、重点工作概述</w:t>
      </w:r>
    </w:p>
    <w:p w14:paraId="6BE42B6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（一）</w:t>
      </w:r>
      <w:r>
        <w:rPr>
          <w:rFonts w:hint="eastAsia" w:ascii="Times New Roman" w:hAnsi="Times New Roman" w:eastAsia="方正仿宋_GBK" w:cs="方正仿宋_GBK"/>
          <w:sz w:val="30"/>
          <w:szCs w:val="30"/>
          <w:highlight w:val="none"/>
          <w:lang w:val="en-US" w:eastAsia="zh-CN"/>
        </w:rPr>
        <w:t>紧跟中央、省、市政策变化，修订《华宁县党政机关国内公务接待管理实施细则》，在接待过程中严格落实中央八项规定及其实施细则精神，严控接待范围，严控接待标准，严控陪同人员，严格实行接待审批“双签制”，结合实际不打折、不变通地落实公务接待工作</w:t>
      </w:r>
      <w:r>
        <w:rPr>
          <w:rFonts w:hint="default" w:ascii="Times New Roman" w:hAnsi="Times New Roman" w:eastAsia="方正仿宋_GBK" w:cs="方正仿宋_GBK"/>
          <w:sz w:val="30"/>
          <w:szCs w:val="30"/>
          <w:highlight w:val="none"/>
          <w:lang w:val="en-US" w:eastAsia="zh-CN"/>
        </w:rPr>
        <w:t>。</w:t>
      </w:r>
    </w:p>
    <w:p w14:paraId="0F13128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（二）</w:t>
      </w:r>
      <w:r>
        <w:rPr>
          <w:rFonts w:hint="eastAsia" w:ascii="Times New Roman" w:hAnsi="Times New Roman" w:eastAsia="方正仿宋_GBK" w:cs="方正仿宋_GBK"/>
          <w:sz w:val="30"/>
          <w:szCs w:val="30"/>
          <w:highlight w:val="none"/>
          <w:lang w:val="en-US" w:eastAsia="zh-CN"/>
        </w:rPr>
        <w:t>以制度建设促公务用车规范管理。实行“县级公车平台”+“社会化租赁平台”补充保障的模式，</w:t>
      </w:r>
      <w:r>
        <w:rPr>
          <w:rFonts w:hint="default" w:ascii="Times New Roman" w:hAnsi="Times New Roman" w:eastAsia="方正仿宋_GBK" w:cs="方正仿宋_GBK"/>
          <w:sz w:val="30"/>
          <w:szCs w:val="30"/>
          <w:highlight w:val="none"/>
          <w:lang w:val="en-US" w:eastAsia="zh-CN"/>
        </w:rPr>
        <w:t>完成</w:t>
      </w:r>
      <w:r>
        <w:rPr>
          <w:rFonts w:hint="eastAsia" w:ascii="Times New Roman" w:hAnsi="Times New Roman" w:eastAsia="方正仿宋_GBK" w:cs="方正仿宋_GBK"/>
          <w:sz w:val="30"/>
          <w:szCs w:val="30"/>
          <w:highlight w:val="none"/>
          <w:lang w:val="en-US" w:eastAsia="zh-CN"/>
        </w:rPr>
        <w:t>全县</w:t>
      </w:r>
      <w:r>
        <w:rPr>
          <w:rFonts w:hint="default" w:ascii="Times New Roman" w:hAnsi="Times New Roman" w:eastAsia="方正仿宋_GBK" w:cs="方正仿宋_GBK"/>
          <w:sz w:val="30"/>
          <w:szCs w:val="30"/>
          <w:highlight w:val="none"/>
          <w:lang w:val="en-US" w:eastAsia="zh-CN"/>
        </w:rPr>
        <w:t>重点</w:t>
      </w:r>
      <w:r>
        <w:rPr>
          <w:rFonts w:hint="eastAsia" w:ascii="Times New Roman" w:hAnsi="Times New Roman" w:eastAsia="方正仿宋_GBK" w:cs="方正仿宋_GBK"/>
          <w:sz w:val="30"/>
          <w:szCs w:val="30"/>
          <w:highlight w:val="none"/>
          <w:lang w:val="en-US" w:eastAsia="zh-CN"/>
        </w:rPr>
        <w:t>工作、</w:t>
      </w:r>
      <w:r>
        <w:rPr>
          <w:rFonts w:hint="default" w:ascii="Times New Roman" w:hAnsi="Times New Roman" w:eastAsia="方正仿宋_GBK" w:cs="方正仿宋_GBK"/>
          <w:sz w:val="30"/>
          <w:szCs w:val="30"/>
          <w:highlight w:val="none"/>
          <w:lang w:val="en-US" w:eastAsia="zh-CN"/>
        </w:rPr>
        <w:t>会议活动的后勤保障用车需求，为</w:t>
      </w:r>
      <w:r>
        <w:rPr>
          <w:rFonts w:hint="eastAsia" w:ascii="Times New Roman" w:hAnsi="Times New Roman" w:eastAsia="方正仿宋_GBK" w:cs="方正仿宋_GBK"/>
          <w:sz w:val="30"/>
          <w:szCs w:val="30"/>
          <w:highlight w:val="none"/>
          <w:lang w:val="en-US" w:eastAsia="zh-CN"/>
        </w:rPr>
        <w:t>全县党政机关</w:t>
      </w:r>
      <w:r>
        <w:rPr>
          <w:rFonts w:hint="default" w:ascii="Times New Roman" w:hAnsi="Times New Roman" w:eastAsia="方正仿宋_GBK" w:cs="方正仿宋_GBK"/>
          <w:sz w:val="30"/>
          <w:szCs w:val="30"/>
          <w:highlight w:val="none"/>
          <w:lang w:val="en-US" w:eastAsia="zh-CN"/>
        </w:rPr>
        <w:t>公务出行提供有力保障</w:t>
      </w:r>
      <w:r>
        <w:rPr>
          <w:rFonts w:hint="eastAsia" w:ascii="Times New Roman" w:hAnsi="Times New Roman" w:eastAsia="方正仿宋_GBK" w:cs="方正仿宋_GBK"/>
          <w:sz w:val="30"/>
          <w:szCs w:val="30"/>
          <w:highlight w:val="none"/>
          <w:lang w:val="en-US" w:eastAsia="zh-CN"/>
        </w:rPr>
        <w:t>。</w:t>
      </w:r>
    </w:p>
    <w:p w14:paraId="0E3F76B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（三）</w:t>
      </w:r>
      <w:r>
        <w:rPr>
          <w:rFonts w:hint="eastAsia" w:ascii="Times New Roman" w:hAnsi="Times New Roman" w:eastAsia="方正仿宋_GBK" w:cs="方正仿宋_GBK"/>
          <w:sz w:val="30"/>
          <w:szCs w:val="30"/>
          <w:highlight w:val="none"/>
          <w:lang w:val="en-US" w:eastAsia="zh-CN"/>
        </w:rPr>
        <w:t>规范</w:t>
      </w:r>
      <w:r>
        <w:rPr>
          <w:rFonts w:hint="default" w:ascii="Times New Roman" w:hAnsi="Times New Roman" w:eastAsia="方正仿宋_GBK" w:cs="方正仿宋_GBK"/>
          <w:sz w:val="30"/>
          <w:szCs w:val="30"/>
          <w:highlight w:val="none"/>
          <w:lang w:val="en-US" w:eastAsia="zh-CN"/>
        </w:rPr>
        <w:t>开展办公用房监督管理</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持续推进党政机关办公用房的权属统一登记、信息化平台建设与动态调配</w:t>
      </w:r>
      <w:r>
        <w:rPr>
          <w:rFonts w:hint="eastAsia" w:ascii="Times New Roman" w:hAnsi="Times New Roman" w:eastAsia="方正仿宋_GBK" w:cs="方正仿宋_GBK"/>
          <w:sz w:val="30"/>
          <w:szCs w:val="30"/>
          <w:highlight w:val="none"/>
          <w:lang w:val="en-US" w:eastAsia="zh-CN"/>
        </w:rPr>
        <w:t>，其核心是摸清家底、统一权属、标准化管理、跨部门调剂，以提升用房使用效率，杜绝违规使用和浪费。</w:t>
      </w:r>
    </w:p>
    <w:p w14:paraId="25C2947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（四）</w:t>
      </w:r>
      <w:r>
        <w:rPr>
          <w:rFonts w:hint="eastAsia" w:ascii="Times New Roman" w:hAnsi="Times New Roman" w:eastAsia="方正仿宋_GBK" w:cs="方正仿宋_GBK"/>
          <w:sz w:val="30"/>
          <w:szCs w:val="30"/>
          <w:highlight w:val="none"/>
          <w:lang w:val="en-US" w:eastAsia="zh-CN"/>
        </w:rPr>
        <w:t>公共机构节能工作。组织开展“公共机构节能宣传周”和“低碳日”宣传活动，指导各单位进行节约型机关创建。</w:t>
      </w:r>
    </w:p>
    <w:p w14:paraId="1D3AA47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（五）</w:t>
      </w:r>
      <w:r>
        <w:rPr>
          <w:rFonts w:hint="eastAsia" w:ascii="Times New Roman" w:hAnsi="Times New Roman" w:eastAsia="方正仿宋_GBK" w:cs="方正仿宋_GBK"/>
          <w:sz w:val="30"/>
          <w:szCs w:val="30"/>
          <w:highlight w:val="none"/>
          <w:lang w:val="en-US" w:eastAsia="zh-CN"/>
        </w:rPr>
        <w:t>坚持服务社会化，保障能力逐步加强。我部门继续</w:t>
      </w:r>
      <w:r>
        <w:rPr>
          <w:rFonts w:hint="default" w:ascii="Times New Roman" w:hAnsi="Times New Roman" w:eastAsia="方正仿宋_GBK" w:cs="方正仿宋_GBK"/>
          <w:sz w:val="30"/>
          <w:szCs w:val="30"/>
          <w:highlight w:val="none"/>
          <w:lang w:val="en-US" w:eastAsia="zh-CN"/>
        </w:rPr>
        <w:t>将一二办公区后勤保障服务</w:t>
      </w:r>
      <w:r>
        <w:rPr>
          <w:rFonts w:hint="eastAsia" w:ascii="Times New Roman" w:hAnsi="Times New Roman" w:eastAsia="方正仿宋_GBK" w:cs="方正仿宋_GBK"/>
          <w:sz w:val="30"/>
          <w:szCs w:val="30"/>
          <w:highlight w:val="none"/>
          <w:lang w:val="en-US" w:eastAsia="zh-CN"/>
        </w:rPr>
        <w:t>、人大政协安保服务</w:t>
      </w:r>
      <w:r>
        <w:rPr>
          <w:rFonts w:hint="default" w:ascii="Times New Roman" w:hAnsi="Times New Roman" w:eastAsia="方正仿宋_GBK" w:cs="方正仿宋_GBK"/>
          <w:sz w:val="30"/>
          <w:szCs w:val="30"/>
          <w:highlight w:val="none"/>
          <w:lang w:val="en-US" w:eastAsia="zh-CN"/>
        </w:rPr>
        <w:t>进行社会化外包，</w:t>
      </w:r>
      <w:r>
        <w:rPr>
          <w:rFonts w:hint="eastAsia" w:ascii="Times New Roman" w:hAnsi="Times New Roman" w:eastAsia="方正仿宋_GBK" w:cs="方正仿宋_GBK"/>
          <w:sz w:val="30"/>
          <w:szCs w:val="30"/>
          <w:highlight w:val="none"/>
          <w:lang w:val="en-US" w:eastAsia="zh-CN"/>
        </w:rPr>
        <w:t>后勤服务实现了“管办分离”。通过细化物业考核评分制度，严格实行季度考核，后勤服务力量和工作水平有效提升。</w:t>
      </w:r>
    </w:p>
    <w:p w14:paraId="6984DCB3">
      <w:pPr>
        <w:keepNext w:val="0"/>
        <w:keepLines w:val="0"/>
        <w:pageBreakBefore w:val="0"/>
        <w:kinsoku/>
        <w:wordWrap/>
        <w:overflowPunct/>
        <w:topLinePunct w:val="0"/>
        <w:autoSpaceDE/>
        <w:autoSpaceDN/>
        <w:bidi w:val="0"/>
        <w:adjustRightInd/>
        <w:spacing w:line="590" w:lineRule="exact"/>
        <w:jc w:val="center"/>
        <w:textAlignment w:val="auto"/>
        <w:outlineLvl w:val="0"/>
        <w:rPr>
          <w:rFonts w:hint="eastAsia" w:ascii="Times New Roman" w:hAnsi="Times New Roman" w:eastAsia="黑体"/>
          <w:sz w:val="32"/>
          <w:szCs w:val="32"/>
          <w:highlight w:val="none"/>
        </w:rPr>
      </w:pPr>
      <w:r>
        <w:rPr>
          <w:rFonts w:hint="eastAsia" w:ascii="Times New Roman" w:hAnsi="Times New Roman" w:eastAsia="黑体"/>
          <w:sz w:val="32"/>
          <w:szCs w:val="32"/>
          <w:highlight w:val="none"/>
        </w:rPr>
        <w:t xml:space="preserve">第二部分  </w:t>
      </w:r>
      <w:r>
        <w:rPr>
          <w:rFonts w:hint="eastAsia" w:ascii="Times New Roman" w:hAnsi="Times New Roman" w:eastAsia="黑体"/>
          <w:sz w:val="32"/>
          <w:szCs w:val="32"/>
          <w:highlight w:val="none"/>
          <w:lang w:val="en-US" w:eastAsia="zh-CN"/>
        </w:rPr>
        <w:t>2025年度</w:t>
      </w:r>
      <w:r>
        <w:rPr>
          <w:rFonts w:hint="eastAsia" w:ascii="Times New Roman" w:hAnsi="Times New Roman" w:eastAsia="黑体"/>
          <w:sz w:val="32"/>
          <w:szCs w:val="32"/>
          <w:highlight w:val="none"/>
        </w:rPr>
        <w:t>部门决算表</w:t>
      </w:r>
    </w:p>
    <w:p w14:paraId="3FBB2146">
      <w:pPr>
        <w:keepNext w:val="0"/>
        <w:keepLines w:val="0"/>
        <w:pageBreakBefore w:val="0"/>
        <w:kinsoku/>
        <w:wordWrap/>
        <w:overflowPunct/>
        <w:topLinePunct w:val="0"/>
        <w:autoSpaceDE/>
        <w:autoSpaceDN/>
        <w:bidi w:val="0"/>
        <w:adjustRightInd/>
        <w:spacing w:line="590" w:lineRule="exact"/>
        <w:ind w:firstLine="600" w:firstLineChars="200"/>
        <w:jc w:val="center"/>
        <w:textAlignment w:val="auto"/>
        <w:outlineLvl w:val="1"/>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rPr>
        <w:t>（详见附件）</w:t>
      </w:r>
    </w:p>
    <w:p w14:paraId="704BB90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华宁县机关事务服务中心2025年度无国有资本经营预算财政拨款收入，《国有资本经营预算财政拨款收入支出决算表》为空表。</w:t>
      </w:r>
    </w:p>
    <w:p w14:paraId="61F70F9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仿宋_GB2312"/>
          <w:sz w:val="30"/>
          <w:szCs w:val="30"/>
          <w:highlight w:val="none"/>
          <w:lang w:eastAsia="zh-CN"/>
        </w:rPr>
      </w:pPr>
      <w:r>
        <w:rPr>
          <w:rFonts w:hint="eastAsia" w:ascii="Times New Roman" w:hAnsi="Times New Roman" w:eastAsia="方正仿宋_GBK" w:cs="方正仿宋_GBK"/>
          <w:sz w:val="30"/>
          <w:szCs w:val="30"/>
          <w:highlight w:val="none"/>
          <w:lang w:val="en-US" w:eastAsia="zh-CN"/>
        </w:rPr>
        <w:t>华宁县机关事务服务中心2025年度无政府性基金预算财政拨款收入，《政府性基金预算财政拨款收入支出决算表》为空表。</w:t>
      </w:r>
    </w:p>
    <w:p w14:paraId="37C0AA35">
      <w:pPr>
        <w:keepNext w:val="0"/>
        <w:keepLines w:val="0"/>
        <w:pageBreakBefore w:val="0"/>
        <w:kinsoku/>
        <w:wordWrap/>
        <w:overflowPunct/>
        <w:topLinePunct w:val="0"/>
        <w:autoSpaceDE/>
        <w:autoSpaceDN/>
        <w:bidi w:val="0"/>
        <w:adjustRightInd/>
        <w:spacing w:line="590" w:lineRule="exact"/>
        <w:jc w:val="center"/>
        <w:textAlignment w:val="auto"/>
        <w:outlineLvl w:val="0"/>
        <w:rPr>
          <w:rFonts w:hint="eastAsia" w:ascii="Times New Roman" w:hAnsi="Times New Roman" w:eastAsia="黑体"/>
          <w:sz w:val="32"/>
          <w:szCs w:val="32"/>
          <w:highlight w:val="none"/>
        </w:rPr>
      </w:pPr>
      <w:r>
        <w:rPr>
          <w:rFonts w:hint="eastAsia" w:ascii="Times New Roman" w:hAnsi="Times New Roman" w:eastAsia="黑体"/>
          <w:sz w:val="32"/>
          <w:szCs w:val="32"/>
          <w:highlight w:val="none"/>
        </w:rPr>
        <w:t>第三部</w:t>
      </w:r>
      <w:r>
        <w:rPr>
          <w:rFonts w:hint="eastAsia" w:ascii="Times New Roman" w:hAnsi="Times New Roman" w:eastAsia="黑体"/>
          <w:sz w:val="32"/>
          <w:szCs w:val="32"/>
          <w:highlight w:val="none"/>
          <w:lang w:eastAsia="zh-CN"/>
        </w:rPr>
        <w:t>分</w:t>
      </w:r>
      <w:r>
        <w:rPr>
          <w:rFonts w:hint="eastAsia" w:ascii="Times New Roman" w:hAnsi="Times New Roman" w:eastAsia="黑体"/>
          <w:sz w:val="32"/>
          <w:szCs w:val="32"/>
          <w:highlight w:val="none"/>
        </w:rPr>
        <w:t xml:space="preserve">  </w:t>
      </w:r>
      <w:r>
        <w:rPr>
          <w:rFonts w:hint="eastAsia" w:ascii="Times New Roman" w:hAnsi="Times New Roman" w:eastAsia="黑体"/>
          <w:sz w:val="32"/>
          <w:szCs w:val="32"/>
          <w:highlight w:val="none"/>
          <w:lang w:val="en-US" w:eastAsia="zh-CN"/>
        </w:rPr>
        <w:t>2025年度</w:t>
      </w:r>
      <w:r>
        <w:rPr>
          <w:rFonts w:hint="eastAsia" w:ascii="Times New Roman" w:hAnsi="Times New Roman" w:eastAsia="黑体"/>
          <w:sz w:val="32"/>
          <w:szCs w:val="32"/>
          <w:highlight w:val="none"/>
        </w:rPr>
        <w:t>部门决算情况说明</w:t>
      </w:r>
    </w:p>
    <w:p w14:paraId="16EF9B28">
      <w:pPr>
        <w:keepNext w:val="0"/>
        <w:keepLines w:val="0"/>
        <w:pageBreakBefore w:val="0"/>
        <w:kinsoku/>
        <w:wordWrap/>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黑体"/>
          <w:sz w:val="30"/>
          <w:szCs w:val="30"/>
          <w:highlight w:val="none"/>
        </w:rPr>
      </w:pPr>
      <w:r>
        <w:rPr>
          <w:rFonts w:hint="eastAsia" w:ascii="Times New Roman" w:hAnsi="Times New Roman" w:eastAsia="方正黑体_GBK" w:cs="方正黑体_GBK"/>
          <w:sz w:val="30"/>
          <w:szCs w:val="30"/>
          <w:highlight w:val="none"/>
          <w:lang w:eastAsia="zh-CN"/>
        </w:rPr>
        <w:t>一、收入决算情况说明</w:t>
      </w:r>
    </w:p>
    <w:p w14:paraId="13B677B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zh-CN" w:eastAsia="zh-CN"/>
        </w:rPr>
        <w:t>华宁县机关事务服务中心</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lang w:val="zh-CN" w:eastAsia="zh-CN"/>
        </w:rPr>
        <w:t>收入合计3,576,277.51元。其中：财政拨款收入3,576,277.51元，占总收入的100.00%；无上级补助收入、事业收入、经营收入、附属单位上缴收入、其他收入。</w:t>
      </w:r>
      <w:r>
        <w:rPr>
          <w:rFonts w:hint="eastAsia" w:ascii="Times New Roman" w:hAnsi="Times New Roman" w:eastAsia="方正仿宋_GBK" w:cs="方正仿宋_GBK"/>
          <w:sz w:val="30"/>
          <w:szCs w:val="30"/>
          <w:highlight w:val="none"/>
          <w:lang w:val="en-US" w:eastAsia="zh-CN"/>
        </w:rPr>
        <w:t xml:space="preserve"> </w:t>
      </w:r>
    </w:p>
    <w:p w14:paraId="43BF77F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与上年相比，收入合计增加1,180,053.38元，增长49.25%。其中：财政拨款收入增加1,180,053.38元，增长49.25%；主要原因是：</w:t>
      </w:r>
      <w:r>
        <w:rPr>
          <w:rFonts w:hint="eastAsia" w:ascii="Times New Roman" w:hAnsi="Times New Roman" w:eastAsia="方正仿宋_GBK" w:cs="方正仿宋_GBK"/>
          <w:sz w:val="30"/>
          <w:szCs w:val="30"/>
          <w:highlight w:val="none"/>
          <w:lang w:val="en-US" w:eastAsia="zh-CN"/>
        </w:rPr>
        <w:t>2025年本单位履职、专项工作任务增多，财政部门加大经费保障力度，安排的专项项目经费较上年增加。</w:t>
      </w:r>
    </w:p>
    <w:p w14:paraId="53ACE189">
      <w:pPr>
        <w:keepNext w:val="0"/>
        <w:keepLines w:val="0"/>
        <w:pageBreakBefore w:val="0"/>
        <w:kinsoku/>
        <w:wordWrap/>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黑体"/>
          <w:sz w:val="30"/>
          <w:szCs w:val="30"/>
          <w:highlight w:val="none"/>
        </w:rPr>
      </w:pPr>
      <w:r>
        <w:rPr>
          <w:rFonts w:hint="eastAsia" w:ascii="Times New Roman" w:hAnsi="Times New Roman" w:eastAsia="方正黑体_GBK" w:cs="方正黑体_GBK"/>
          <w:sz w:val="30"/>
          <w:szCs w:val="30"/>
          <w:highlight w:val="none"/>
          <w:lang w:eastAsia="zh-CN"/>
        </w:rPr>
        <w:t>二、支出决算情况说明</w:t>
      </w:r>
    </w:p>
    <w:p w14:paraId="75FE987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华宁县机关事务服务中心</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lang w:val="zh-CN" w:eastAsia="zh-CN"/>
        </w:rPr>
        <w:t>支出合计3,576,277.51元。其中：基本支出1,391,396.55元，占总支出的38.91％；项目支出2,184,880.96元，占总支出的61.09％；无上缴上级支出、经营支出、对附属单位补助支出。</w:t>
      </w:r>
    </w:p>
    <w:p w14:paraId="25311B1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与上年相比，支出合计增加1,180,053.38元，增长49.25%。其中：基本支出增</w:t>
      </w:r>
      <w:r>
        <w:rPr>
          <w:rFonts w:hint="eastAsia" w:ascii="Times New Roman" w:hAnsi="Times New Roman" w:eastAsia="方正仿宋_GBK" w:cs="方正仿宋_GBK"/>
          <w:sz w:val="30"/>
          <w:szCs w:val="30"/>
          <w:highlight w:val="none"/>
          <w:lang w:val="en-US" w:eastAsia="zh-CN"/>
        </w:rPr>
        <w:t>减少</w:t>
      </w:r>
      <w:r>
        <w:rPr>
          <w:rFonts w:hint="eastAsia" w:ascii="Times New Roman" w:hAnsi="Times New Roman" w:eastAsia="方正仿宋_GBK" w:cs="方正仿宋_GBK"/>
          <w:sz w:val="30"/>
          <w:szCs w:val="30"/>
          <w:highlight w:val="none"/>
          <w:lang w:val="zh-CN" w:eastAsia="zh-CN"/>
        </w:rPr>
        <w:t>446,727.80元，</w:t>
      </w:r>
      <w:r>
        <w:rPr>
          <w:rFonts w:hint="eastAsia" w:ascii="Times New Roman" w:hAnsi="Times New Roman" w:eastAsia="方正仿宋_GBK" w:cs="方正仿宋_GBK"/>
          <w:sz w:val="30"/>
          <w:szCs w:val="30"/>
          <w:highlight w:val="none"/>
          <w:lang w:val="en-US" w:eastAsia="zh-CN"/>
        </w:rPr>
        <w:t>下降</w:t>
      </w:r>
      <w:r>
        <w:rPr>
          <w:rFonts w:hint="eastAsia" w:ascii="Times New Roman" w:hAnsi="Times New Roman" w:eastAsia="方正仿宋_GBK" w:cs="方正仿宋_GBK"/>
          <w:sz w:val="30"/>
          <w:szCs w:val="30"/>
          <w:highlight w:val="none"/>
          <w:lang w:val="zh-CN" w:eastAsia="zh-CN"/>
        </w:rPr>
        <w:t>24.30%；项目支出增加1,626,781.18元，增长291.49%；无上缴上级支出、经营支出、对附属单位补助支出。主要原因是</w:t>
      </w:r>
      <w:r>
        <w:rPr>
          <w:rFonts w:hint="eastAsia" w:ascii="Times New Roman" w:hAnsi="Times New Roman" w:eastAsia="方正仿宋_GBK" w:cs="方正仿宋_GBK"/>
          <w:sz w:val="30"/>
          <w:szCs w:val="30"/>
          <w:highlight w:val="none"/>
          <w:lang w:val="en-US" w:eastAsia="zh-CN"/>
        </w:rPr>
        <w:t>2025年本单位履职、专项工作任务增多，专项业务支出较上年增加。</w:t>
      </w:r>
    </w:p>
    <w:p w14:paraId="5559EB65">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方正楷体_GBK" w:hAnsi="方正楷体_GBK" w:eastAsia="方正楷体_GBK" w:cs="方正楷体_GBK"/>
          <w:sz w:val="30"/>
          <w:szCs w:val="30"/>
          <w:highlight w:val="none"/>
          <w:lang w:val="zh-CN" w:eastAsia="zh-CN"/>
        </w:rPr>
      </w:pPr>
      <w:r>
        <w:rPr>
          <w:rFonts w:hint="eastAsia" w:ascii="方正楷体_GBK" w:hAnsi="方正楷体_GBK" w:eastAsia="方正楷体_GBK" w:cs="方正楷体_GBK"/>
          <w:sz w:val="30"/>
          <w:szCs w:val="30"/>
          <w:highlight w:val="none"/>
          <w:lang w:val="zh-CN" w:eastAsia="zh-CN"/>
        </w:rPr>
        <w:t>（一）基本支出情况</w:t>
      </w:r>
    </w:p>
    <w:p w14:paraId="42C9CA6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lang w:val="zh-CN" w:eastAsia="zh-CN"/>
        </w:rPr>
        <w:t>用于保障华宁县机关事务服务中心机关、下属事业单位等机构正常运转的日常支出1,391,396.55元。其中：基本工资、津贴补贴等人员经费支出1,229,884.33元，占基本支出的88.39％；办公费、印刷费、水电费、办公设备购置等公用经费161,512.22元，占基本支出的11.61％。</w:t>
      </w:r>
    </w:p>
    <w:p w14:paraId="1A17D011">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方正楷体_GBK" w:hAnsi="方正楷体_GBK" w:eastAsia="方正楷体_GBK" w:cs="方正楷体_GBK"/>
          <w:sz w:val="30"/>
          <w:szCs w:val="30"/>
          <w:highlight w:val="none"/>
          <w:lang w:val="zh-CN" w:eastAsia="zh-CN"/>
        </w:rPr>
      </w:pPr>
      <w:r>
        <w:rPr>
          <w:rFonts w:hint="eastAsia" w:ascii="方正楷体_GBK" w:hAnsi="方正楷体_GBK" w:eastAsia="方正楷体_GBK" w:cs="方正楷体_GBK"/>
          <w:sz w:val="30"/>
          <w:szCs w:val="30"/>
          <w:highlight w:val="none"/>
          <w:lang w:val="zh-CN" w:eastAsia="zh-CN"/>
        </w:rPr>
        <w:t>（二）项目支出情况</w:t>
      </w:r>
    </w:p>
    <w:p w14:paraId="1CAF208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lang w:val="zh-CN" w:eastAsia="zh-CN"/>
        </w:rPr>
        <w:t>用于保障华宁县机关事务服务中心机关、下属事业单位等机构为完成特定的行政工作任务或事业发展目标，用于专项业务工作的经费支出2,184,880.96元。其中：基本建设类项目支出0.00元。</w:t>
      </w:r>
    </w:p>
    <w:p w14:paraId="0122170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公务接待经费项目</w:t>
      </w:r>
      <w:r>
        <w:rPr>
          <w:rFonts w:hint="eastAsia" w:ascii="Times New Roman" w:hAnsi="Times New Roman" w:eastAsia="方正仿宋_GBK" w:cs="方正仿宋_GBK"/>
          <w:sz w:val="30"/>
          <w:szCs w:val="30"/>
          <w:highlight w:val="none"/>
          <w:lang w:val="en-US" w:eastAsia="zh-CN"/>
        </w:rPr>
        <w:t>49</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104.00</w:t>
      </w:r>
      <w:r>
        <w:rPr>
          <w:rFonts w:hint="eastAsia" w:ascii="Times New Roman" w:hAnsi="Times New Roman" w:eastAsia="方正仿宋_GBK" w:cs="方正仿宋_GBK"/>
          <w:sz w:val="30"/>
          <w:szCs w:val="30"/>
          <w:highlight w:val="none"/>
          <w:lang w:val="zh-CN" w:eastAsia="zh-CN"/>
        </w:rPr>
        <w:t>元，主要用于开展副厅及其以上领导的各类调研、检查等接待工作，外县区主要领导带队到我县交流的接待工作，机关重要会议的服务保障，全县大型会议以及重大节庆活动接待服务工作。</w:t>
      </w:r>
    </w:p>
    <w:p w14:paraId="2B0036B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办公区后勤保障经费项目</w:t>
      </w:r>
      <w:r>
        <w:rPr>
          <w:rFonts w:hint="eastAsia" w:ascii="Times New Roman" w:hAnsi="Times New Roman" w:eastAsia="方正仿宋_GBK" w:cs="方正仿宋_GBK"/>
          <w:sz w:val="30"/>
          <w:szCs w:val="30"/>
          <w:highlight w:val="none"/>
          <w:lang w:val="en-US" w:eastAsia="zh-CN"/>
        </w:rPr>
        <w:t>1</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619</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378.40</w:t>
      </w:r>
      <w:r>
        <w:rPr>
          <w:rFonts w:hint="eastAsia" w:ascii="Times New Roman" w:hAnsi="Times New Roman" w:eastAsia="方正仿宋_GBK" w:cs="方正仿宋_GBK"/>
          <w:sz w:val="30"/>
          <w:szCs w:val="30"/>
          <w:highlight w:val="none"/>
          <w:lang w:val="zh-CN" w:eastAsia="zh-CN"/>
        </w:rPr>
        <w:t>元，主要用于保障一二办公区环境卫生保洁、会议服务、安保、食堂管理等后勤服务及13套干部周转房管理服务工作，</w:t>
      </w:r>
      <w:r>
        <w:rPr>
          <w:rFonts w:hint="eastAsia" w:ascii="Times New Roman" w:hAnsi="Times New Roman" w:eastAsia="方正仿宋_GBK" w:cs="方正仿宋_GBK"/>
          <w:sz w:val="30"/>
          <w:szCs w:val="30"/>
          <w:highlight w:val="none"/>
          <w:lang w:val="en-US" w:eastAsia="zh-CN"/>
        </w:rPr>
        <w:t>县人大、县政协安保服务工作，</w:t>
      </w:r>
      <w:r>
        <w:rPr>
          <w:rFonts w:hint="eastAsia" w:ascii="Times New Roman" w:hAnsi="Times New Roman" w:eastAsia="方正仿宋_GBK" w:cs="方正仿宋_GBK"/>
          <w:sz w:val="30"/>
          <w:szCs w:val="30"/>
          <w:highlight w:val="none"/>
          <w:lang w:val="zh-CN" w:eastAsia="zh-CN"/>
        </w:rPr>
        <w:t>为县委县政府机关干部职工提供高效优质服务。</w:t>
      </w:r>
    </w:p>
    <w:p w14:paraId="6E27EAB3">
      <w:pPr>
        <w:keepNext w:val="0"/>
        <w:keepLines w:val="0"/>
        <w:pageBreakBefore w:val="0"/>
        <w:kinsoku/>
        <w:wordWrap/>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三、一般公共预算财政拨款支出决算情况说明</w:t>
      </w:r>
    </w:p>
    <w:p w14:paraId="2D8A39FA">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方正楷体_GBK" w:hAnsi="方正楷体_GBK" w:eastAsia="方正楷体_GBK" w:cs="方正楷体_GBK"/>
          <w:sz w:val="30"/>
          <w:szCs w:val="30"/>
          <w:highlight w:val="none"/>
          <w:lang w:val="zh-CN" w:eastAsia="zh-CN"/>
        </w:rPr>
      </w:pPr>
      <w:r>
        <w:rPr>
          <w:rFonts w:hint="eastAsia" w:ascii="方正楷体_GBK" w:hAnsi="方正楷体_GBK" w:eastAsia="方正楷体_GBK" w:cs="方正楷体_GBK"/>
          <w:sz w:val="30"/>
          <w:szCs w:val="30"/>
          <w:highlight w:val="none"/>
          <w:lang w:val="zh-CN" w:eastAsia="zh-CN"/>
        </w:rPr>
        <w:t>（一）一般公共预算财政拨款支出决算总体情况</w:t>
      </w:r>
    </w:p>
    <w:p w14:paraId="3FB17DF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zh-CN" w:eastAsia="zh-CN"/>
        </w:rPr>
        <w:t>华宁县机关事务服务中心</w:t>
      </w:r>
      <w:r>
        <w:rPr>
          <w:rFonts w:hint="eastAsia" w:ascii="Times New Roman" w:hAnsi="Times New Roman" w:eastAsia="方正仿宋_GBK" w:cs="方正仿宋_GBK"/>
          <w:sz w:val="30"/>
          <w:szCs w:val="30"/>
          <w:highlight w:val="none"/>
          <w:lang w:val="en-US" w:eastAsia="zh-CN"/>
        </w:rPr>
        <w:t>2025年度一般公共预算财政拨款支出</w:t>
      </w:r>
      <w:r>
        <w:rPr>
          <w:rFonts w:hint="eastAsia" w:ascii="Times New Roman" w:hAnsi="Times New Roman" w:eastAsia="方正仿宋_GBK" w:cs="方正仿宋_GBK"/>
          <w:sz w:val="30"/>
          <w:szCs w:val="30"/>
          <w:highlight w:val="none"/>
          <w:lang w:val="zh-CN" w:eastAsia="zh-CN"/>
        </w:rPr>
        <w:t>3</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576</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277.51</w:t>
      </w:r>
      <w:r>
        <w:rPr>
          <w:rFonts w:hint="eastAsia" w:ascii="Times New Roman" w:hAnsi="Times New Roman" w:eastAsia="方正仿宋_GBK" w:cs="方正仿宋_GBK"/>
          <w:sz w:val="30"/>
          <w:szCs w:val="30"/>
          <w:highlight w:val="none"/>
          <w:lang w:val="en-US" w:eastAsia="zh-CN"/>
        </w:rPr>
        <w:t>元,占本年支出合计的</w:t>
      </w:r>
      <w:r>
        <w:rPr>
          <w:rFonts w:hint="eastAsia" w:ascii="Times New Roman" w:hAnsi="Times New Roman" w:eastAsia="方正仿宋_GBK" w:cs="方正仿宋_GBK"/>
          <w:sz w:val="30"/>
          <w:szCs w:val="30"/>
          <w:highlight w:val="none"/>
          <w:lang w:val="zh-CN" w:eastAsia="zh-CN"/>
        </w:rPr>
        <w:t>100.00</w:t>
      </w:r>
      <w:r>
        <w:rPr>
          <w:rFonts w:hint="eastAsia" w:ascii="Times New Roman" w:hAnsi="Times New Roman" w:eastAsia="方正仿宋_GBK" w:cs="方正仿宋_GBK"/>
          <w:sz w:val="30"/>
          <w:szCs w:val="30"/>
          <w:highlight w:val="none"/>
          <w:lang w:val="en-US" w:eastAsia="zh-CN"/>
        </w:rPr>
        <w:t>%。与上年相比增加</w:t>
      </w:r>
      <w:r>
        <w:rPr>
          <w:rFonts w:hint="eastAsia" w:ascii="Times New Roman" w:hAnsi="Times New Roman" w:eastAsia="方正仿宋_GBK" w:cs="方正仿宋_GBK"/>
          <w:sz w:val="30"/>
          <w:szCs w:val="30"/>
          <w:highlight w:val="none"/>
          <w:lang w:val="zh-CN" w:eastAsia="zh-CN"/>
        </w:rPr>
        <w:t>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180</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053.38</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49.25</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55.77</w:t>
      </w:r>
      <w:r>
        <w:rPr>
          <w:rFonts w:hint="eastAsia" w:ascii="Times New Roman" w:hAnsi="Times New Roman" w:eastAsia="方正仿宋_GBK" w:cs="方正仿宋_GBK"/>
          <w:sz w:val="30"/>
          <w:szCs w:val="30"/>
          <w:highlight w:val="none"/>
          <w:lang w:val="en-US" w:eastAsia="zh-CN"/>
        </w:rPr>
        <w:t>%。</w:t>
      </w:r>
    </w:p>
    <w:p w14:paraId="1AF1BE9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（二）一般公共预算财政拨款支出决算分功能分类科目情况</w:t>
      </w:r>
      <w:r>
        <w:rPr>
          <w:rFonts w:hint="eastAsia" w:ascii="Times New Roman" w:hAnsi="Times New Roman" w:eastAsia="方正仿宋_GBK" w:cs="方正仿宋_GBK"/>
          <w:sz w:val="30"/>
          <w:szCs w:val="30"/>
          <w:highlight w:val="none"/>
          <w:lang w:val="en-US" w:eastAsia="zh-CN"/>
        </w:rPr>
        <w:tab/>
      </w:r>
    </w:p>
    <w:p w14:paraId="32C8592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1.一般公共服务（类）支出</w:t>
      </w:r>
      <w:r>
        <w:rPr>
          <w:rFonts w:hint="eastAsia" w:ascii="Times New Roman" w:hAnsi="Times New Roman" w:eastAsia="方正仿宋_GBK" w:cs="方正仿宋_GBK"/>
          <w:sz w:val="30"/>
          <w:szCs w:val="30"/>
          <w:highlight w:val="none"/>
          <w:lang w:val="zh-CN" w:eastAsia="zh-CN"/>
        </w:rPr>
        <w:t>3</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059</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684.77</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85.56</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50.30</w:t>
      </w:r>
      <w:r>
        <w:rPr>
          <w:rFonts w:hint="eastAsia" w:ascii="Times New Roman" w:hAnsi="Times New Roman" w:eastAsia="方正仿宋_GBK" w:cs="方正仿宋_GBK"/>
          <w:sz w:val="30"/>
          <w:szCs w:val="30"/>
          <w:highlight w:val="none"/>
          <w:lang w:val="en-US" w:eastAsia="zh-CN"/>
        </w:rPr>
        <w:t>%。主要用于本部门职工基本工资、绩效工资、津贴补贴、等人员经费的支出903,185.59元，用于正常开展业务发生的办公费、水电费、会议费、培训费、物业管理费、公务用车运行维护费等商品服务支出161,512.22元；造成预决算差异的主要原因是2025年公务用车购置经费纳入预算后未发生支出。</w:t>
      </w:r>
    </w:p>
    <w:p w14:paraId="682186E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2.外交（类）支出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1F528DC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3.国防（类）支出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4252FCE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4.公共安全（类）支出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211B0C9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5.教育（类）支出0.00元，占一般公共预算财政拨款总支出的0.00%,完成年初预算的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031C3A8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6.科学技术（类）支出0.00元，占一般公共预算财政拨款总支出的0.00%,完成年初预算的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4591E24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7.文化旅游体育与传媒（类）支出0.00元，占一般公共预算财政拨款总支出的0.00%,完成年初预算的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36ACDB4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8.社会保障和就业（类）支出127,448.48元，占一般公共预算财政拨款总支出的3.56%,完成年初预算的</w:t>
      </w:r>
      <w:r>
        <w:rPr>
          <w:rFonts w:hint="eastAsia" w:ascii="Times New Roman" w:hAnsi="Times New Roman" w:eastAsia="方正仿宋_GBK" w:cs="方正仿宋_GBK"/>
          <w:sz w:val="30"/>
          <w:szCs w:val="30"/>
          <w:highlight w:val="none"/>
          <w:lang w:val="zh-CN" w:eastAsia="zh-CN"/>
        </w:rPr>
        <w:t>102.07</w:t>
      </w:r>
      <w:r>
        <w:rPr>
          <w:rFonts w:hint="eastAsia" w:ascii="Times New Roman" w:hAnsi="Times New Roman" w:eastAsia="方正仿宋_GBK" w:cs="方正仿宋_GBK"/>
          <w:sz w:val="30"/>
          <w:szCs w:val="30"/>
          <w:highlight w:val="none"/>
          <w:lang w:val="en-US" w:eastAsia="zh-CN"/>
        </w:rPr>
        <w:t>%，主要用于本部门职工的养老保险及其他社会保障缴费；造成预决算差异的主要原因是支出方面的政策性调整。</w:t>
      </w:r>
    </w:p>
    <w:p w14:paraId="53E5EE95">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9.卫生健康（类）支出</w:t>
      </w:r>
      <w:r>
        <w:rPr>
          <w:rFonts w:hint="eastAsia" w:ascii="Times New Roman" w:hAnsi="Times New Roman" w:eastAsia="方正仿宋_GBK" w:cs="方正仿宋_GBK"/>
          <w:sz w:val="30"/>
          <w:szCs w:val="30"/>
          <w:highlight w:val="none"/>
          <w:lang w:val="zh-CN" w:eastAsia="zh-CN"/>
        </w:rPr>
        <w:t>291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440.26</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8.15</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285.91</w:t>
      </w:r>
      <w:r>
        <w:rPr>
          <w:rFonts w:hint="eastAsia" w:ascii="Times New Roman" w:hAnsi="Times New Roman" w:eastAsia="方正仿宋_GBK" w:cs="方正仿宋_GBK"/>
          <w:sz w:val="30"/>
          <w:szCs w:val="30"/>
          <w:highlight w:val="none"/>
          <w:lang w:val="en-US" w:eastAsia="zh-CN"/>
        </w:rPr>
        <w:t>%，主要用于本部门职工的医疗补助支出；造成预决算差异的主要原因是支出方面的政策性调整。</w:t>
      </w:r>
    </w:p>
    <w:p w14:paraId="4798C73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10.节能环保（类）支出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1091BC8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11.城乡社区（类）支出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5057FA4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12.农林水（类）支出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1170393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13.交通运输（类）支出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0213C49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14.资源勘探工业信息等（类）支出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1E9353F5">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15.商业服务业等（类）支出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3A8FED2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16.金融（类）支出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071D7DD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17.援助其他地区（类）支出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186672C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18.自然资源海洋气象等（类）支出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4634844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19.住房保障（类）支出</w:t>
      </w:r>
      <w:r>
        <w:rPr>
          <w:rFonts w:hint="eastAsia" w:ascii="Times New Roman" w:hAnsi="Times New Roman" w:eastAsia="方正仿宋_GBK" w:cs="方正仿宋_GBK"/>
          <w:sz w:val="30"/>
          <w:szCs w:val="30"/>
          <w:highlight w:val="none"/>
          <w:lang w:val="zh-CN" w:eastAsia="zh-CN"/>
        </w:rPr>
        <w:t>97</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704.00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2.73</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94.40</w:t>
      </w:r>
      <w:r>
        <w:rPr>
          <w:rFonts w:hint="eastAsia" w:ascii="Times New Roman" w:hAnsi="Times New Roman" w:eastAsia="方正仿宋_GBK" w:cs="方正仿宋_GBK"/>
          <w:sz w:val="30"/>
          <w:szCs w:val="30"/>
          <w:highlight w:val="none"/>
          <w:lang w:val="en-US" w:eastAsia="zh-CN"/>
        </w:rPr>
        <w:t>%，主要用于本部门职工的住房公积金补助支出；造成预决算差异的主要原因是支出方面的政策性调整。</w:t>
      </w:r>
    </w:p>
    <w:p w14:paraId="1C5E256F">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20.粮油物资储备（类）支出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14239837">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21.国有资本经营预算（类）支出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 xml:space="preserve">%，年初无此项预算。 </w:t>
      </w:r>
    </w:p>
    <w:p w14:paraId="59C1823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22.灾害防治及应急管理（类）支出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6F5F8325">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23.其他（类）支出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12E53187">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24.债务还本（类）支出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3756BFC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25.债务付息（类）支出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6F5088B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26.抗疫特别国债安排（类）支出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w:t>
      </w:r>
    </w:p>
    <w:p w14:paraId="75C219EE">
      <w:pPr>
        <w:keepNext w:val="0"/>
        <w:keepLines w:val="0"/>
        <w:pageBreakBefore w:val="0"/>
        <w:kinsoku/>
        <w:wordWrap/>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lang w:eastAsia="zh-CN"/>
        </w:rPr>
        <w:t>四、</w:t>
      </w:r>
      <w:r>
        <w:rPr>
          <w:rFonts w:hint="eastAsia" w:ascii="Times New Roman" w:hAnsi="Times New Roman" w:eastAsia="方正黑体_GBK" w:cs="方正黑体_GBK"/>
          <w:sz w:val="30"/>
          <w:szCs w:val="30"/>
          <w:highlight w:val="none"/>
        </w:rPr>
        <w:t>财政拨款“三公”经费支出决算情况说明</w:t>
      </w:r>
    </w:p>
    <w:p w14:paraId="53A9690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方正楷体_GBK" w:hAnsi="方正楷体_GBK" w:eastAsia="方正楷体_GBK" w:cs="方正楷体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（一）总体情况</w:t>
      </w:r>
    </w:p>
    <w:p w14:paraId="3484333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2025年度财政拨款“三公”经费支出决算中，财政拨款“三公”经费支出年初预算为1,603,800.00元，决算为</w:t>
      </w:r>
      <w:r>
        <w:rPr>
          <w:rFonts w:hint="eastAsia" w:ascii="Times New Roman" w:hAnsi="Times New Roman" w:eastAsia="方正仿宋_GBK" w:cs="方正仿宋_GBK"/>
          <w:sz w:val="30"/>
          <w:szCs w:val="30"/>
          <w:highlight w:val="none"/>
          <w:lang w:val="zh-CN" w:eastAsia="zh-CN"/>
        </w:rPr>
        <w:t>182</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527.08</w:t>
      </w:r>
      <w:r>
        <w:rPr>
          <w:rFonts w:hint="eastAsia" w:ascii="Times New Roman" w:hAnsi="Times New Roman" w:eastAsia="方正仿宋_GBK" w:cs="方正仿宋_GBK"/>
          <w:sz w:val="30"/>
          <w:szCs w:val="30"/>
          <w:highlight w:val="none"/>
          <w:lang w:val="en-US" w:eastAsia="zh-CN"/>
        </w:rPr>
        <w:t>元，完成年初预算的</w:t>
      </w:r>
      <w:r>
        <w:rPr>
          <w:rFonts w:hint="eastAsia" w:ascii="Times New Roman" w:hAnsi="Times New Roman" w:eastAsia="方正仿宋_GBK" w:cs="方正仿宋_GBK"/>
          <w:sz w:val="30"/>
          <w:szCs w:val="30"/>
          <w:highlight w:val="none"/>
          <w:lang w:val="zh-CN" w:eastAsia="zh-CN"/>
        </w:rPr>
        <w:t>11.38</w:t>
      </w:r>
      <w:r>
        <w:rPr>
          <w:rFonts w:hint="eastAsia" w:ascii="Times New Roman" w:hAnsi="Times New Roman" w:eastAsia="方正仿宋_GBK" w:cs="方正仿宋_GBK"/>
          <w:sz w:val="30"/>
          <w:szCs w:val="30"/>
          <w:highlight w:val="none"/>
          <w:lang w:val="en-US" w:eastAsia="zh-CN"/>
        </w:rPr>
        <w:t>%；支出决算较上年减少</w:t>
      </w:r>
      <w:r>
        <w:rPr>
          <w:rFonts w:hint="eastAsia" w:ascii="Times New Roman" w:hAnsi="Times New Roman" w:eastAsia="方正仿宋_GBK" w:cs="方正仿宋_GBK"/>
          <w:sz w:val="30"/>
          <w:szCs w:val="30"/>
          <w:highlight w:val="none"/>
          <w:lang w:val="zh-CN" w:eastAsia="zh-CN"/>
        </w:rPr>
        <w:t>189</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500.73</w:t>
      </w:r>
      <w:r>
        <w:rPr>
          <w:rFonts w:hint="eastAsia" w:ascii="Times New Roman" w:hAnsi="Times New Roman" w:eastAsia="方正仿宋_GBK" w:cs="方正仿宋_GBK"/>
          <w:sz w:val="30"/>
          <w:szCs w:val="30"/>
          <w:highlight w:val="none"/>
          <w:lang w:val="en-US" w:eastAsia="zh-CN"/>
        </w:rPr>
        <w:t>元，下降</w:t>
      </w:r>
      <w:r>
        <w:rPr>
          <w:rFonts w:hint="eastAsia" w:ascii="Times New Roman" w:hAnsi="Times New Roman" w:eastAsia="方正仿宋_GBK" w:cs="方正仿宋_GBK"/>
          <w:sz w:val="30"/>
          <w:szCs w:val="30"/>
          <w:highlight w:val="none"/>
          <w:lang w:val="zh-CN" w:eastAsia="zh-CN"/>
        </w:rPr>
        <w:t>50.94</w:t>
      </w:r>
      <w:r>
        <w:rPr>
          <w:rFonts w:hint="eastAsia" w:ascii="Times New Roman" w:hAnsi="Times New Roman" w:eastAsia="方正仿宋_GBK" w:cs="方正仿宋_GBK"/>
          <w:sz w:val="30"/>
          <w:szCs w:val="30"/>
          <w:highlight w:val="none"/>
          <w:lang w:val="en-US" w:eastAsia="zh-CN"/>
        </w:rPr>
        <w:t>%。</w:t>
      </w:r>
    </w:p>
    <w:p w14:paraId="7369F167">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因公出国（境）费用支出年初预算为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元，占财政拨款“三公”经费总支出决算的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%；公务用车购置费支出年初预算为</w:t>
      </w:r>
      <w:r>
        <w:rPr>
          <w:rFonts w:hint="eastAsia" w:ascii="Times New Roman" w:hAnsi="Times New Roman" w:eastAsia="方正仿宋_GBK" w:cs="方正仿宋_GBK"/>
          <w:sz w:val="30"/>
          <w:szCs w:val="30"/>
          <w:highlight w:val="none"/>
          <w:lang w:val="zh-CN" w:eastAsia="zh-CN"/>
        </w:rPr>
        <w:t>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000.00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元，占财政拨款“三公”经费总支出决算的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%；公务用车运行维护费支出年初预算为</w:t>
      </w:r>
      <w:r>
        <w:rPr>
          <w:rFonts w:hint="eastAsia" w:ascii="Times New Roman" w:hAnsi="Times New Roman" w:eastAsia="方正仿宋_GBK" w:cs="方正仿宋_GBK"/>
          <w:sz w:val="30"/>
          <w:szCs w:val="30"/>
          <w:highlight w:val="none"/>
          <w:lang w:val="zh-CN" w:eastAsia="zh-CN"/>
        </w:rPr>
        <w:t>399</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000.00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131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303.08</w:t>
      </w:r>
      <w:r>
        <w:rPr>
          <w:rFonts w:hint="eastAsia" w:ascii="Times New Roman" w:hAnsi="Times New Roman" w:eastAsia="方正仿宋_GBK" w:cs="方正仿宋_GBK"/>
          <w:sz w:val="30"/>
          <w:szCs w:val="30"/>
          <w:highlight w:val="none"/>
          <w:lang w:val="en-US" w:eastAsia="zh-CN"/>
        </w:rPr>
        <w:t>元，占财政拨款“三公”经费总支出决算的</w:t>
      </w:r>
      <w:r>
        <w:rPr>
          <w:rFonts w:hint="eastAsia" w:ascii="Times New Roman" w:hAnsi="Times New Roman" w:eastAsia="方正仿宋_GBK" w:cs="方正仿宋_GBK"/>
          <w:sz w:val="30"/>
          <w:szCs w:val="30"/>
          <w:highlight w:val="none"/>
          <w:lang w:val="zh-CN" w:eastAsia="zh-CN"/>
        </w:rPr>
        <w:t>71.94</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32.91</w:t>
      </w:r>
      <w:r>
        <w:rPr>
          <w:rFonts w:hint="eastAsia" w:ascii="Times New Roman" w:hAnsi="Times New Roman" w:eastAsia="方正仿宋_GBK" w:cs="方正仿宋_GBK"/>
          <w:sz w:val="30"/>
          <w:szCs w:val="30"/>
          <w:highlight w:val="none"/>
          <w:lang w:val="en-US" w:eastAsia="zh-CN"/>
        </w:rPr>
        <w:t>%；公务接待费支出年初预算为</w:t>
      </w:r>
      <w:r>
        <w:rPr>
          <w:rFonts w:hint="eastAsia" w:ascii="Times New Roman" w:hAnsi="Times New Roman" w:eastAsia="方正仿宋_GBK" w:cs="方正仿宋_GBK"/>
          <w:sz w:val="30"/>
          <w:szCs w:val="30"/>
          <w:highlight w:val="none"/>
          <w:lang w:val="zh-CN" w:eastAsia="zh-CN"/>
        </w:rPr>
        <w:t>204</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800.00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51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224.00</w:t>
      </w:r>
      <w:r>
        <w:rPr>
          <w:rFonts w:hint="eastAsia" w:ascii="Times New Roman" w:hAnsi="Times New Roman" w:eastAsia="方正仿宋_GBK" w:cs="方正仿宋_GBK"/>
          <w:sz w:val="30"/>
          <w:szCs w:val="30"/>
          <w:highlight w:val="none"/>
          <w:lang w:val="en-US" w:eastAsia="zh-CN"/>
        </w:rPr>
        <w:t>元，占财政拨款“三公”经费总支出决算的</w:t>
      </w:r>
      <w:r>
        <w:rPr>
          <w:rFonts w:hint="eastAsia" w:ascii="Times New Roman" w:hAnsi="Times New Roman" w:eastAsia="方正仿宋_GBK" w:cs="方正仿宋_GBK"/>
          <w:sz w:val="30"/>
          <w:szCs w:val="30"/>
          <w:highlight w:val="none"/>
          <w:lang w:val="zh-CN" w:eastAsia="zh-CN"/>
        </w:rPr>
        <w:t>28.06</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25.01</w:t>
      </w:r>
      <w:r>
        <w:rPr>
          <w:rFonts w:hint="eastAsia" w:ascii="Times New Roman" w:hAnsi="Times New Roman" w:eastAsia="方正仿宋_GBK" w:cs="方正仿宋_GBK"/>
          <w:sz w:val="30"/>
          <w:szCs w:val="30"/>
          <w:highlight w:val="none"/>
          <w:lang w:val="en-US" w:eastAsia="zh-CN"/>
        </w:rPr>
        <w:t>%。</w:t>
      </w:r>
    </w:p>
    <w:p w14:paraId="6C993E87">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因公出国（境）费用支出决算较上年增加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元，上年无此项支出；公务用车购置费支出决算较上年增加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元，上年无此项支出；公务用车运行维护费支出决算较上年减少</w:t>
      </w:r>
      <w:r>
        <w:rPr>
          <w:rFonts w:hint="eastAsia" w:ascii="Times New Roman" w:hAnsi="Times New Roman" w:eastAsia="方正仿宋_GBK" w:cs="方正仿宋_GBK"/>
          <w:sz w:val="30"/>
          <w:szCs w:val="30"/>
          <w:highlight w:val="none"/>
          <w:lang w:val="zh-CN" w:eastAsia="zh-CN"/>
        </w:rPr>
        <w:t>152</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914.73</w:t>
      </w:r>
      <w:r>
        <w:rPr>
          <w:rFonts w:hint="eastAsia" w:ascii="Times New Roman" w:hAnsi="Times New Roman" w:eastAsia="方正仿宋_GBK" w:cs="方正仿宋_GBK"/>
          <w:sz w:val="30"/>
          <w:szCs w:val="30"/>
          <w:highlight w:val="none"/>
          <w:lang w:val="en-US" w:eastAsia="zh-CN"/>
        </w:rPr>
        <w:t>元，下降</w:t>
      </w:r>
      <w:r>
        <w:rPr>
          <w:rFonts w:hint="eastAsia" w:ascii="Times New Roman" w:hAnsi="Times New Roman" w:eastAsia="方正仿宋_GBK" w:cs="方正仿宋_GBK"/>
          <w:sz w:val="30"/>
          <w:szCs w:val="30"/>
          <w:highlight w:val="none"/>
          <w:lang w:val="zh-CN" w:eastAsia="zh-CN"/>
        </w:rPr>
        <w:t>53.80</w:t>
      </w:r>
      <w:r>
        <w:rPr>
          <w:rFonts w:hint="eastAsia" w:ascii="Times New Roman" w:hAnsi="Times New Roman" w:eastAsia="方正仿宋_GBK" w:cs="方正仿宋_GBK"/>
          <w:sz w:val="30"/>
          <w:szCs w:val="30"/>
          <w:highlight w:val="none"/>
          <w:lang w:val="en-US" w:eastAsia="zh-CN"/>
        </w:rPr>
        <w:t>%；公务接待费支出决算较上年减少</w:t>
      </w:r>
      <w:r>
        <w:rPr>
          <w:rFonts w:hint="eastAsia" w:ascii="Times New Roman" w:hAnsi="Times New Roman" w:eastAsia="方正仿宋_GBK" w:cs="方正仿宋_GBK"/>
          <w:sz w:val="30"/>
          <w:szCs w:val="30"/>
          <w:highlight w:val="none"/>
          <w:lang w:val="zh-CN" w:eastAsia="zh-CN"/>
        </w:rPr>
        <w:t>36</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586.00</w:t>
      </w:r>
      <w:r>
        <w:rPr>
          <w:rFonts w:hint="eastAsia" w:ascii="Times New Roman" w:hAnsi="Times New Roman" w:eastAsia="方正仿宋_GBK" w:cs="方正仿宋_GBK"/>
          <w:sz w:val="30"/>
          <w:szCs w:val="30"/>
          <w:highlight w:val="none"/>
          <w:lang w:val="en-US" w:eastAsia="zh-CN"/>
        </w:rPr>
        <w:t>元，下降</w:t>
      </w:r>
      <w:r>
        <w:rPr>
          <w:rFonts w:hint="eastAsia" w:ascii="Times New Roman" w:hAnsi="Times New Roman" w:eastAsia="方正仿宋_GBK" w:cs="方正仿宋_GBK"/>
          <w:sz w:val="30"/>
          <w:szCs w:val="30"/>
          <w:highlight w:val="none"/>
          <w:lang w:val="zh-CN" w:eastAsia="zh-CN"/>
        </w:rPr>
        <w:t>41.66</w:t>
      </w:r>
      <w:r>
        <w:rPr>
          <w:rFonts w:hint="eastAsia" w:ascii="Times New Roman" w:hAnsi="Times New Roman" w:eastAsia="方正仿宋_GBK" w:cs="方正仿宋_GBK"/>
          <w:sz w:val="30"/>
          <w:szCs w:val="30"/>
          <w:highlight w:val="none"/>
          <w:lang w:val="en-US" w:eastAsia="zh-CN"/>
        </w:rPr>
        <w:t>%；具体是国内接待费支出决算</w:t>
      </w:r>
      <w:r>
        <w:rPr>
          <w:rFonts w:hint="eastAsia" w:ascii="Times New Roman" w:hAnsi="Times New Roman" w:eastAsia="方正仿宋_GBK" w:cs="方正仿宋_GBK"/>
          <w:sz w:val="30"/>
          <w:szCs w:val="30"/>
          <w:highlight w:val="none"/>
          <w:lang w:val="zh-CN" w:eastAsia="zh-CN"/>
        </w:rPr>
        <w:t>51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224.00</w:t>
      </w:r>
      <w:r>
        <w:rPr>
          <w:rFonts w:hint="eastAsia" w:ascii="Times New Roman" w:hAnsi="Times New Roman" w:eastAsia="方正仿宋_GBK" w:cs="方正仿宋_GBK"/>
          <w:sz w:val="30"/>
          <w:szCs w:val="30"/>
          <w:highlight w:val="none"/>
          <w:lang w:val="en-US" w:eastAsia="zh-CN"/>
        </w:rPr>
        <w:t>元（其中：外事接待费支出决算</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元），较上年减少</w:t>
      </w:r>
      <w:r>
        <w:rPr>
          <w:rFonts w:hint="eastAsia" w:ascii="Times New Roman" w:hAnsi="Times New Roman" w:eastAsia="方正仿宋_GBK" w:cs="方正仿宋_GBK"/>
          <w:sz w:val="30"/>
          <w:szCs w:val="30"/>
          <w:highlight w:val="none"/>
          <w:lang w:val="zh-CN" w:eastAsia="zh-CN"/>
        </w:rPr>
        <w:t>36</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586.00</w:t>
      </w:r>
      <w:r>
        <w:rPr>
          <w:rFonts w:hint="eastAsia" w:ascii="Times New Roman" w:hAnsi="Times New Roman" w:eastAsia="方正仿宋_GBK" w:cs="方正仿宋_GBK"/>
          <w:sz w:val="30"/>
          <w:szCs w:val="30"/>
          <w:highlight w:val="none"/>
          <w:lang w:val="en-US" w:eastAsia="zh-CN"/>
        </w:rPr>
        <w:t>元，下降</w:t>
      </w:r>
      <w:r>
        <w:rPr>
          <w:rFonts w:hint="eastAsia" w:ascii="Times New Roman" w:hAnsi="Times New Roman" w:eastAsia="方正仿宋_GBK" w:cs="方正仿宋_GBK"/>
          <w:sz w:val="30"/>
          <w:szCs w:val="30"/>
          <w:highlight w:val="none"/>
          <w:lang w:val="zh-CN" w:eastAsia="zh-CN"/>
        </w:rPr>
        <w:t>41.66</w:t>
      </w:r>
      <w:r>
        <w:rPr>
          <w:rFonts w:hint="eastAsia" w:ascii="Times New Roman" w:hAnsi="Times New Roman" w:eastAsia="方正仿宋_GBK" w:cs="方正仿宋_GBK"/>
          <w:sz w:val="30"/>
          <w:szCs w:val="30"/>
          <w:highlight w:val="none"/>
          <w:lang w:val="en-US" w:eastAsia="zh-CN"/>
        </w:rPr>
        <w:t>%；国（境）外接待费支出决算</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元，较上年增加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w:t>
      </w:r>
    </w:p>
    <w:p w14:paraId="1F48D9E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方正楷体_GBK" w:hAnsi="方正楷体_GBK" w:eastAsia="方正楷体_GBK" w:cs="方正楷体_GBK"/>
          <w:sz w:val="30"/>
          <w:szCs w:val="30"/>
          <w:highlight w:val="none"/>
          <w:lang w:val="en-US" w:eastAsia="zh-CN"/>
        </w:rPr>
      </w:pPr>
      <w:r>
        <w:rPr>
          <w:rFonts w:hint="eastAsia" w:ascii="方正楷体_GBK" w:hAnsi="方正楷体_GBK" w:eastAsia="方正楷体_GBK" w:cs="方正楷体_GBK"/>
          <w:sz w:val="30"/>
          <w:szCs w:val="30"/>
          <w:highlight w:val="none"/>
          <w:lang w:val="en-US" w:eastAsia="zh-CN"/>
        </w:rPr>
        <w:t>（二）一般公共预算财政拨款“三公”经费支出决算情况说明</w:t>
      </w:r>
    </w:p>
    <w:p w14:paraId="2E5E8E5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2025年度一般公共预算财政拨款“三公”经费支出年初预算为</w:t>
      </w:r>
      <w:r>
        <w:rPr>
          <w:rFonts w:hint="eastAsia" w:ascii="Times New Roman" w:hAnsi="Times New Roman" w:eastAsia="方正仿宋_GBK" w:cs="方正仿宋_GBK"/>
          <w:sz w:val="30"/>
          <w:szCs w:val="30"/>
          <w:highlight w:val="none"/>
          <w:lang w:val="zh-CN" w:eastAsia="zh-CN"/>
        </w:rPr>
        <w:t>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603</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800.00</w:t>
      </w:r>
      <w:r>
        <w:rPr>
          <w:rFonts w:hint="eastAsia" w:ascii="Times New Roman" w:hAnsi="Times New Roman" w:eastAsia="方正仿宋_GBK" w:cs="方正仿宋_GBK"/>
          <w:sz w:val="30"/>
          <w:szCs w:val="30"/>
          <w:highlight w:val="none"/>
          <w:lang w:val="en-US" w:eastAsia="zh-CN"/>
        </w:rPr>
        <w:t>元，支出决算为</w:t>
      </w:r>
      <w:r>
        <w:rPr>
          <w:rFonts w:hint="eastAsia" w:ascii="Times New Roman" w:hAnsi="Times New Roman" w:eastAsia="方正仿宋_GBK" w:cs="方正仿宋_GBK"/>
          <w:sz w:val="30"/>
          <w:szCs w:val="30"/>
          <w:highlight w:val="none"/>
          <w:lang w:val="zh-CN" w:eastAsia="zh-CN"/>
        </w:rPr>
        <w:t>182</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527.08</w:t>
      </w:r>
      <w:r>
        <w:rPr>
          <w:rFonts w:hint="eastAsia" w:ascii="Times New Roman" w:hAnsi="Times New Roman" w:eastAsia="方正仿宋_GBK" w:cs="方正仿宋_GBK"/>
          <w:sz w:val="30"/>
          <w:szCs w:val="30"/>
          <w:highlight w:val="none"/>
          <w:lang w:val="en-US" w:eastAsia="zh-CN"/>
        </w:rPr>
        <w:t>元，完成年初预算的</w:t>
      </w:r>
      <w:r>
        <w:rPr>
          <w:rFonts w:hint="eastAsia" w:ascii="Times New Roman" w:hAnsi="Times New Roman" w:eastAsia="方正仿宋_GBK" w:cs="方正仿宋_GBK"/>
          <w:sz w:val="30"/>
          <w:szCs w:val="30"/>
          <w:highlight w:val="none"/>
          <w:lang w:val="zh-CN" w:eastAsia="zh-CN"/>
        </w:rPr>
        <w:t>11.38</w:t>
      </w:r>
      <w:r>
        <w:rPr>
          <w:rFonts w:hint="eastAsia" w:ascii="Times New Roman" w:hAnsi="Times New Roman" w:eastAsia="方正仿宋_GBK" w:cs="方正仿宋_GBK"/>
          <w:sz w:val="30"/>
          <w:szCs w:val="30"/>
          <w:highlight w:val="none"/>
          <w:lang w:val="en-US" w:eastAsia="zh-CN"/>
        </w:rPr>
        <w:t>%，支出决算较上年减少</w:t>
      </w:r>
      <w:r>
        <w:rPr>
          <w:rFonts w:hint="eastAsia" w:ascii="Times New Roman" w:hAnsi="Times New Roman" w:eastAsia="方正仿宋_GBK" w:cs="方正仿宋_GBK"/>
          <w:sz w:val="30"/>
          <w:szCs w:val="30"/>
          <w:highlight w:val="none"/>
          <w:lang w:val="zh-CN" w:eastAsia="zh-CN"/>
        </w:rPr>
        <w:t>189</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500.73</w:t>
      </w:r>
      <w:r>
        <w:rPr>
          <w:rFonts w:hint="eastAsia" w:ascii="Times New Roman" w:hAnsi="Times New Roman" w:eastAsia="方正仿宋_GBK" w:cs="方正仿宋_GBK"/>
          <w:sz w:val="30"/>
          <w:szCs w:val="30"/>
          <w:highlight w:val="none"/>
          <w:lang w:val="en-US" w:eastAsia="zh-CN"/>
        </w:rPr>
        <w:t>元，下降</w:t>
      </w:r>
      <w:r>
        <w:rPr>
          <w:rFonts w:hint="eastAsia" w:ascii="Times New Roman" w:hAnsi="Times New Roman" w:eastAsia="方正仿宋_GBK" w:cs="方正仿宋_GBK"/>
          <w:sz w:val="30"/>
          <w:szCs w:val="30"/>
          <w:highlight w:val="none"/>
          <w:lang w:val="zh-CN" w:eastAsia="zh-CN"/>
        </w:rPr>
        <w:t>50.94</w:t>
      </w:r>
      <w:r>
        <w:rPr>
          <w:rFonts w:hint="eastAsia" w:ascii="Times New Roman" w:hAnsi="Times New Roman" w:eastAsia="方正仿宋_GBK" w:cs="方正仿宋_GBK"/>
          <w:sz w:val="30"/>
          <w:szCs w:val="30"/>
          <w:highlight w:val="none"/>
          <w:lang w:val="en-US" w:eastAsia="zh-CN"/>
        </w:rPr>
        <w:t>%。</w:t>
      </w:r>
    </w:p>
    <w:p w14:paraId="69BD4C2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一般公共预算财政拨款“三公”经费支出中：因公出国（境）费用支出年初预算为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元；公务用车购置费支出年初预算为</w:t>
      </w:r>
      <w:r>
        <w:rPr>
          <w:rFonts w:hint="eastAsia" w:ascii="Times New Roman" w:hAnsi="Times New Roman" w:eastAsia="方正仿宋_GBK" w:cs="方正仿宋_GBK"/>
          <w:sz w:val="30"/>
          <w:szCs w:val="30"/>
          <w:highlight w:val="none"/>
          <w:lang w:val="zh-CN" w:eastAsia="zh-CN"/>
        </w:rPr>
        <w:t>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000.00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元，完成年初预算的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%；公务用车运行维护费支出年初预算为</w:t>
      </w:r>
      <w:r>
        <w:rPr>
          <w:rFonts w:hint="eastAsia" w:ascii="Times New Roman" w:hAnsi="Times New Roman" w:eastAsia="方正仿宋_GBK" w:cs="方正仿宋_GBK"/>
          <w:sz w:val="30"/>
          <w:szCs w:val="30"/>
          <w:highlight w:val="none"/>
          <w:lang w:val="zh-CN" w:eastAsia="zh-CN"/>
        </w:rPr>
        <w:t>399</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000.00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131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303.08</w:t>
      </w:r>
      <w:r>
        <w:rPr>
          <w:rFonts w:hint="eastAsia" w:ascii="Times New Roman" w:hAnsi="Times New Roman" w:eastAsia="方正仿宋_GBK" w:cs="方正仿宋_GBK"/>
          <w:sz w:val="30"/>
          <w:szCs w:val="30"/>
          <w:highlight w:val="none"/>
          <w:lang w:val="en-US" w:eastAsia="zh-CN"/>
        </w:rPr>
        <w:t>元，完成年初预算的</w:t>
      </w:r>
      <w:r>
        <w:rPr>
          <w:rFonts w:hint="eastAsia" w:ascii="Times New Roman" w:hAnsi="Times New Roman" w:eastAsia="方正仿宋_GBK" w:cs="方正仿宋_GBK"/>
          <w:sz w:val="30"/>
          <w:szCs w:val="30"/>
          <w:highlight w:val="none"/>
          <w:lang w:val="zh-CN" w:eastAsia="zh-CN"/>
        </w:rPr>
        <w:t>32.91</w:t>
      </w:r>
      <w:r>
        <w:rPr>
          <w:rFonts w:hint="eastAsia" w:ascii="Times New Roman" w:hAnsi="Times New Roman" w:eastAsia="方正仿宋_GBK" w:cs="方正仿宋_GBK"/>
          <w:sz w:val="30"/>
          <w:szCs w:val="30"/>
          <w:highlight w:val="none"/>
          <w:lang w:val="en-US" w:eastAsia="zh-CN"/>
        </w:rPr>
        <w:t>%；公务接待费支出年初预算为</w:t>
      </w:r>
      <w:r>
        <w:rPr>
          <w:rFonts w:hint="eastAsia" w:ascii="Times New Roman" w:hAnsi="Times New Roman" w:eastAsia="方正仿宋_GBK" w:cs="方正仿宋_GBK"/>
          <w:sz w:val="30"/>
          <w:szCs w:val="30"/>
          <w:highlight w:val="none"/>
          <w:lang w:val="zh-CN" w:eastAsia="zh-CN"/>
        </w:rPr>
        <w:t>204</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800.00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51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224.00</w:t>
      </w:r>
      <w:r>
        <w:rPr>
          <w:rFonts w:hint="eastAsia" w:ascii="Times New Roman" w:hAnsi="Times New Roman" w:eastAsia="方正仿宋_GBK" w:cs="方正仿宋_GBK"/>
          <w:sz w:val="30"/>
          <w:szCs w:val="30"/>
          <w:highlight w:val="none"/>
          <w:lang w:val="en-US" w:eastAsia="zh-CN"/>
        </w:rPr>
        <w:t>元，完成年初预算的</w:t>
      </w:r>
      <w:r>
        <w:rPr>
          <w:rFonts w:hint="eastAsia" w:ascii="Times New Roman" w:hAnsi="Times New Roman" w:eastAsia="方正仿宋_GBK" w:cs="方正仿宋_GBK"/>
          <w:sz w:val="30"/>
          <w:szCs w:val="30"/>
          <w:highlight w:val="none"/>
          <w:lang w:val="zh-CN" w:eastAsia="zh-CN"/>
        </w:rPr>
        <w:t>25.01</w:t>
      </w:r>
      <w:r>
        <w:rPr>
          <w:rFonts w:hint="eastAsia" w:ascii="Times New Roman" w:hAnsi="Times New Roman" w:eastAsia="方正仿宋_GBK" w:cs="方正仿宋_GBK"/>
          <w:sz w:val="30"/>
          <w:szCs w:val="30"/>
          <w:highlight w:val="none"/>
          <w:lang w:val="en-US" w:eastAsia="zh-CN"/>
        </w:rPr>
        <w:t>%。2025年度一般公共预算财政拨款“三公”经费支出决算数小于年初预算数的主要原因是本部门以保障党政机关高效运转为主旨，严格贯彻党政机关落实厉行节约、过紧日子相关要求，从严控制公务接待、公务用车运行等支出。</w:t>
      </w:r>
    </w:p>
    <w:p w14:paraId="354A587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一般公共预算财政拨款“三公”经费支出中：因公出国（境）费用支出决算增加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元，上年无此项支出；公务用车购置费支出决算增加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元，上年无此项支出；公务用车运行维护费支出决算减少</w:t>
      </w:r>
      <w:r>
        <w:rPr>
          <w:rFonts w:hint="eastAsia" w:ascii="Times New Roman" w:hAnsi="Times New Roman" w:eastAsia="方正仿宋_GBK" w:cs="方正仿宋_GBK"/>
          <w:sz w:val="30"/>
          <w:szCs w:val="30"/>
          <w:highlight w:val="none"/>
          <w:lang w:val="zh-CN" w:eastAsia="zh-CN"/>
        </w:rPr>
        <w:t>152</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914.73</w:t>
      </w:r>
      <w:r>
        <w:rPr>
          <w:rFonts w:hint="eastAsia" w:ascii="Times New Roman" w:hAnsi="Times New Roman" w:eastAsia="方正仿宋_GBK" w:cs="方正仿宋_GBK"/>
          <w:sz w:val="30"/>
          <w:szCs w:val="30"/>
          <w:highlight w:val="none"/>
          <w:lang w:val="en-US" w:eastAsia="zh-CN"/>
        </w:rPr>
        <w:t>元，下降</w:t>
      </w:r>
      <w:r>
        <w:rPr>
          <w:rFonts w:hint="eastAsia" w:ascii="Times New Roman" w:hAnsi="Times New Roman" w:eastAsia="方正仿宋_GBK" w:cs="方正仿宋_GBK"/>
          <w:sz w:val="30"/>
          <w:szCs w:val="30"/>
          <w:highlight w:val="none"/>
          <w:lang w:val="zh-CN" w:eastAsia="zh-CN"/>
        </w:rPr>
        <w:t>53.80</w:t>
      </w:r>
      <w:r>
        <w:rPr>
          <w:rFonts w:hint="eastAsia" w:ascii="Times New Roman" w:hAnsi="Times New Roman" w:eastAsia="方正仿宋_GBK" w:cs="方正仿宋_GBK"/>
          <w:sz w:val="30"/>
          <w:szCs w:val="30"/>
          <w:highlight w:val="none"/>
          <w:lang w:val="en-US" w:eastAsia="zh-CN"/>
        </w:rPr>
        <w:t>%；公务接待费支出决算减少</w:t>
      </w:r>
      <w:r>
        <w:rPr>
          <w:rFonts w:hint="eastAsia" w:ascii="Times New Roman" w:hAnsi="Times New Roman" w:eastAsia="方正仿宋_GBK" w:cs="方正仿宋_GBK"/>
          <w:sz w:val="30"/>
          <w:szCs w:val="30"/>
          <w:highlight w:val="none"/>
          <w:lang w:val="zh-CN" w:eastAsia="zh-CN"/>
        </w:rPr>
        <w:t>36</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586.00</w:t>
      </w:r>
      <w:r>
        <w:rPr>
          <w:rFonts w:hint="eastAsia" w:ascii="Times New Roman" w:hAnsi="Times New Roman" w:eastAsia="方正仿宋_GBK" w:cs="方正仿宋_GBK"/>
          <w:sz w:val="30"/>
          <w:szCs w:val="30"/>
          <w:highlight w:val="none"/>
          <w:lang w:val="en-US" w:eastAsia="zh-CN"/>
        </w:rPr>
        <w:t>元，下降</w:t>
      </w:r>
      <w:r>
        <w:rPr>
          <w:rFonts w:hint="eastAsia" w:ascii="Times New Roman" w:hAnsi="Times New Roman" w:eastAsia="方正仿宋_GBK" w:cs="方正仿宋_GBK"/>
          <w:sz w:val="30"/>
          <w:szCs w:val="30"/>
          <w:highlight w:val="none"/>
          <w:lang w:val="zh-CN" w:eastAsia="zh-CN"/>
        </w:rPr>
        <w:t>41.66</w:t>
      </w:r>
      <w:r>
        <w:rPr>
          <w:rFonts w:hint="eastAsia" w:ascii="Times New Roman" w:hAnsi="Times New Roman" w:eastAsia="方正仿宋_GBK" w:cs="方正仿宋_GBK"/>
          <w:sz w:val="30"/>
          <w:szCs w:val="30"/>
          <w:highlight w:val="none"/>
          <w:lang w:val="en-US" w:eastAsia="zh-CN"/>
        </w:rPr>
        <w:t>%，具体是国内接待费支出决算</w:t>
      </w:r>
      <w:r>
        <w:rPr>
          <w:rFonts w:hint="eastAsia" w:ascii="Times New Roman" w:hAnsi="Times New Roman" w:eastAsia="方正仿宋_GBK" w:cs="方正仿宋_GBK"/>
          <w:sz w:val="30"/>
          <w:szCs w:val="30"/>
          <w:highlight w:val="none"/>
          <w:lang w:val="zh-CN" w:eastAsia="zh-CN"/>
        </w:rPr>
        <w:t>51</w:t>
      </w:r>
      <w:r>
        <w:rPr>
          <w:rFonts w:hint="eastAsia" w:ascii="Times New Roman" w:hAnsi="Times New Roman" w:eastAsia="方正仿宋_GBK" w:cs="方正仿宋_GBK"/>
          <w:sz w:val="30"/>
          <w:szCs w:val="30"/>
          <w:highlight w:val="none"/>
          <w:lang w:val="en-US" w:eastAsia="zh-CN"/>
        </w:rPr>
        <w:t>,</w:t>
      </w:r>
      <w:r>
        <w:rPr>
          <w:rFonts w:hint="eastAsia" w:ascii="Times New Roman" w:hAnsi="Times New Roman" w:eastAsia="方正仿宋_GBK" w:cs="方正仿宋_GBK"/>
          <w:sz w:val="30"/>
          <w:szCs w:val="30"/>
          <w:highlight w:val="none"/>
          <w:lang w:val="zh-CN" w:eastAsia="zh-CN"/>
        </w:rPr>
        <w:t>224.00</w:t>
      </w:r>
      <w:r>
        <w:rPr>
          <w:rFonts w:hint="eastAsia" w:ascii="Times New Roman" w:hAnsi="Times New Roman" w:eastAsia="方正仿宋_GBK" w:cs="方正仿宋_GBK"/>
          <w:sz w:val="30"/>
          <w:szCs w:val="30"/>
          <w:highlight w:val="none"/>
          <w:lang w:val="en-US" w:eastAsia="zh-CN"/>
        </w:rPr>
        <w:t>元（其中：外事接待费支出决算</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元），较上年减少36,586.00元，下降41.66%；国（境）外接待费支出决算</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较上年增加0.00元，上年无此项支出。2025年度一般公共预算财政拨款“三公”经费支出决算减少的主要原因是本部门以保障党政机关高效运转为主旨，严格贯彻党政机关落实厉行节约、过紧日子相关要求，从严控制公务接待、公务用车运行等支出。</w:t>
      </w:r>
    </w:p>
    <w:p w14:paraId="11E2E3F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一般公共预算财政拨款“三公”经费支出实物量的具体情况：</w:t>
      </w:r>
    </w:p>
    <w:p w14:paraId="3CC836CC">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w:t>
      </w:r>
      <w:r>
        <w:rPr>
          <w:rFonts w:hint="eastAsia" w:ascii="Times New Roman" w:hAnsi="Times New Roman" w:eastAsia="方正仿宋_GBK" w:cs="方正仿宋_GBK"/>
          <w:sz w:val="30"/>
          <w:szCs w:val="30"/>
          <w:highlight w:val="none"/>
          <w:lang w:val="zh-CN" w:eastAsia="zh-CN"/>
        </w:rPr>
        <w:t>安排因公出国（境）团组0个，累计0人次。</w:t>
      </w:r>
      <w:r>
        <w:rPr>
          <w:rFonts w:hint="eastAsia" w:ascii="Times New Roman" w:hAnsi="Times New Roman" w:eastAsia="方正仿宋_GBK" w:cs="方正仿宋_GBK"/>
          <w:sz w:val="30"/>
          <w:szCs w:val="30"/>
          <w:highlight w:val="none"/>
          <w:lang w:val="en-US" w:eastAsia="zh-CN"/>
        </w:rPr>
        <w:t>2025年华宁县机关事务服务中心未开展此项工作。</w:t>
      </w:r>
    </w:p>
    <w:p w14:paraId="5161BD5F">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2.购置车辆0辆。</w:t>
      </w:r>
      <w:r>
        <w:rPr>
          <w:rFonts w:hint="eastAsia" w:ascii="Times New Roman" w:hAnsi="Times New Roman" w:eastAsia="方正仿宋_GBK" w:cs="方正仿宋_GBK"/>
          <w:sz w:val="30"/>
          <w:szCs w:val="30"/>
          <w:highlight w:val="none"/>
          <w:lang w:val="en-US" w:eastAsia="zh-CN"/>
        </w:rPr>
        <w:t>2025年未开展此项工作</w:t>
      </w:r>
      <w:r>
        <w:rPr>
          <w:rFonts w:hint="eastAsia" w:ascii="Times New Roman" w:hAnsi="Times New Roman" w:eastAsia="方正仿宋_GBK" w:cs="方正仿宋_GBK"/>
          <w:sz w:val="30"/>
          <w:szCs w:val="30"/>
          <w:highlight w:val="none"/>
          <w:lang w:val="zh-CN" w:eastAsia="zh-CN"/>
        </w:rPr>
        <w:t>。开支一般公共预算财政拨款的公务用车保有量为</w:t>
      </w:r>
      <w:r>
        <w:rPr>
          <w:rFonts w:hint="eastAsia" w:ascii="Times New Roman" w:hAnsi="Times New Roman" w:eastAsia="方正仿宋_GBK" w:cs="方正仿宋_GBK"/>
          <w:sz w:val="30"/>
          <w:szCs w:val="30"/>
          <w:highlight w:val="none"/>
          <w:lang w:val="en-US" w:eastAsia="zh-CN"/>
        </w:rPr>
        <w:t>26</w:t>
      </w:r>
      <w:r>
        <w:rPr>
          <w:rFonts w:hint="eastAsia" w:ascii="Times New Roman" w:hAnsi="Times New Roman" w:eastAsia="方正仿宋_GBK" w:cs="方正仿宋_GBK"/>
          <w:sz w:val="30"/>
          <w:szCs w:val="30"/>
          <w:highlight w:val="none"/>
          <w:lang w:val="zh-CN" w:eastAsia="zh-CN"/>
        </w:rPr>
        <w:t>辆。主要用于保障</w:t>
      </w:r>
      <w:r>
        <w:rPr>
          <w:rFonts w:hint="eastAsia" w:ascii="Times New Roman" w:hAnsi="Times New Roman" w:eastAsia="方正仿宋_GBK" w:cs="方正仿宋_GBK"/>
          <w:sz w:val="30"/>
          <w:szCs w:val="30"/>
          <w:highlight w:val="none"/>
          <w:lang w:val="en-US" w:eastAsia="zh-CN"/>
        </w:rPr>
        <w:t>华宁县党政机关公务出行</w:t>
      </w:r>
      <w:r>
        <w:rPr>
          <w:rFonts w:hint="eastAsia" w:ascii="Times New Roman" w:hAnsi="Times New Roman" w:eastAsia="方正仿宋_GBK" w:cs="方正仿宋_GBK"/>
          <w:sz w:val="30"/>
          <w:szCs w:val="30"/>
          <w:highlight w:val="none"/>
          <w:lang w:val="zh-CN" w:eastAsia="zh-CN"/>
        </w:rPr>
        <w:t>所需车辆燃料费、维修费、过路过桥费、保险费等车辆运行维护费用。</w:t>
      </w:r>
    </w:p>
    <w:p w14:paraId="6845751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3.安排国内公务接待40批次（其中：外事接待0批次），接待人次700人（其中：外事接待人次0人）。主要用于</w:t>
      </w:r>
      <w:r>
        <w:rPr>
          <w:rFonts w:hint="eastAsia" w:ascii="Times New Roman" w:hAnsi="Times New Roman" w:eastAsia="方正仿宋_GBK" w:cs="方正仿宋_GBK"/>
          <w:sz w:val="30"/>
          <w:szCs w:val="30"/>
          <w:highlight w:val="none"/>
          <w:lang w:val="en-US" w:eastAsia="zh-CN"/>
        </w:rPr>
        <w:t>开展副厅及其以上领导的各类调研、检查等接待工作35批次600人次，外县区主要领导带队到我县交流的接待工作5批次100人次，机关重要会议的服务保障，全县大型会议以及重大节庆活动接待服务工作6批次210人次；安排国（境）外公务接待0批次，接待人次0人。2025年本部门没有发生过（境）外公务接待支出。</w:t>
      </w:r>
    </w:p>
    <w:p w14:paraId="5381E7FB">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
          <w:sz w:val="30"/>
          <w:szCs w:val="30"/>
          <w:highlight w:val="none"/>
          <w:lang w:eastAsia="zh-CN"/>
        </w:rPr>
      </w:pPr>
      <w:r>
        <w:rPr>
          <w:rFonts w:hint="eastAsia" w:ascii="方正楷体_GBK" w:hAnsi="方正楷体_GBK" w:eastAsia="方正楷体_GBK" w:cs="方正楷体_GBK"/>
          <w:sz w:val="30"/>
          <w:szCs w:val="30"/>
          <w:highlight w:val="none"/>
          <w:lang w:val="en-US" w:eastAsia="zh-CN"/>
        </w:rPr>
        <w:t>（三）需要说明的事项</w:t>
      </w:r>
    </w:p>
    <w:p w14:paraId="615215A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仿宋_GB2312"/>
          <w:sz w:val="30"/>
          <w:szCs w:val="30"/>
          <w:highlight w:val="none"/>
          <w:lang w:eastAsia="zh-CN"/>
        </w:rPr>
      </w:pPr>
      <w:r>
        <w:rPr>
          <w:rFonts w:hint="eastAsia" w:ascii="Times New Roman" w:hAnsi="Times New Roman" w:eastAsia="方正仿宋_GBK" w:cs="方正仿宋_GBK"/>
          <w:sz w:val="30"/>
          <w:szCs w:val="30"/>
          <w:highlight w:val="none"/>
          <w:lang w:val="zh-CN" w:eastAsia="zh-CN"/>
        </w:rPr>
        <w:t>不存在需要说明的事项。</w:t>
      </w:r>
    </w:p>
    <w:p w14:paraId="7F0FEA26">
      <w:pPr>
        <w:keepNext w:val="0"/>
        <w:keepLines w:val="0"/>
        <w:pageBreakBefore w:val="0"/>
        <w:widowControl/>
        <w:kinsoku/>
        <w:wordWrap/>
        <w:overflowPunct/>
        <w:topLinePunct w:val="0"/>
        <w:autoSpaceDE/>
        <w:autoSpaceDN/>
        <w:bidi w:val="0"/>
        <w:adjustRightInd/>
        <w:snapToGrid w:val="0"/>
        <w:spacing w:before="100" w:after="100" w:line="590" w:lineRule="exact"/>
        <w:jc w:val="center"/>
        <w:textAlignment w:val="auto"/>
        <w:outlineLvl w:val="0"/>
        <w:rPr>
          <w:rFonts w:hint="eastAsia" w:ascii="Times New Roman" w:hAnsi="Times New Roman" w:eastAsia="仿宋_GB2312"/>
          <w:sz w:val="32"/>
          <w:szCs w:val="32"/>
          <w:highlight w:val="none"/>
        </w:rPr>
      </w:pPr>
      <w:r>
        <w:rPr>
          <w:rFonts w:hint="eastAsia" w:ascii="Times New Roman" w:hAnsi="Times New Roman" w:eastAsia="黑体" w:cs="方正小标宋简体"/>
          <w:sz w:val="32"/>
          <w:szCs w:val="32"/>
          <w:highlight w:val="none"/>
        </w:rPr>
        <w:t xml:space="preserve">第四部分  </w:t>
      </w:r>
      <w:r>
        <w:rPr>
          <w:rFonts w:hint="eastAsia" w:ascii="Times New Roman" w:hAnsi="Times New Roman" w:eastAsia="黑体"/>
          <w:sz w:val="32"/>
          <w:szCs w:val="32"/>
          <w:highlight w:val="none"/>
        </w:rPr>
        <w:t>其他重要事项及相关口径情况说明</w:t>
      </w:r>
    </w:p>
    <w:p w14:paraId="4E1929FF">
      <w:pPr>
        <w:keepNext w:val="0"/>
        <w:keepLines w:val="0"/>
        <w:pageBreakBefore w:val="0"/>
        <w:kinsoku/>
        <w:wordWrap/>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黑体" w:cs="黑体"/>
          <w:sz w:val="30"/>
          <w:szCs w:val="30"/>
          <w:highlight w:val="none"/>
        </w:rPr>
      </w:pPr>
      <w:r>
        <w:rPr>
          <w:rFonts w:hint="eastAsia" w:ascii="Times New Roman" w:hAnsi="Times New Roman" w:eastAsia="方正黑体_GBK" w:cs="方正黑体_GBK"/>
          <w:sz w:val="30"/>
          <w:szCs w:val="30"/>
          <w:highlight w:val="none"/>
        </w:rPr>
        <w:t>一</w:t>
      </w:r>
      <w:r>
        <w:rPr>
          <w:rFonts w:hint="eastAsia" w:ascii="Times New Roman" w:hAnsi="Times New Roman" w:eastAsia="方正黑体_GBK" w:cs="方正黑体_GBK"/>
          <w:sz w:val="30"/>
          <w:szCs w:val="30"/>
          <w:highlight w:val="none"/>
          <w:lang w:eastAsia="zh-CN"/>
        </w:rPr>
        <w:t>、</w:t>
      </w:r>
      <w:r>
        <w:rPr>
          <w:rFonts w:hint="eastAsia" w:ascii="Times New Roman" w:hAnsi="Times New Roman" w:eastAsia="方正黑体_GBK" w:cs="方正黑体_GBK"/>
          <w:sz w:val="30"/>
          <w:szCs w:val="30"/>
          <w:highlight w:val="none"/>
        </w:rPr>
        <w:t>机关运行经费支出情况</w:t>
      </w:r>
    </w:p>
    <w:p w14:paraId="07A20B94">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zh-CN" w:eastAsia="zh-CN"/>
        </w:rPr>
        <w:t>华宁县机关事务服务中心</w:t>
      </w:r>
      <w:r>
        <w:rPr>
          <w:rFonts w:hint="eastAsia" w:ascii="Times New Roman" w:hAnsi="Times New Roman" w:eastAsia="方正仿宋_GBK" w:cs="方正仿宋_GBK"/>
          <w:sz w:val="30"/>
          <w:szCs w:val="30"/>
          <w:highlight w:val="none"/>
          <w:lang w:val="en-US" w:eastAsia="zh-CN"/>
        </w:rPr>
        <w:t>2025年机关运行经费支出0.00元，比上年增加0.00元，</w:t>
      </w:r>
      <w:r>
        <w:rPr>
          <w:rFonts w:hint="eastAsia" w:ascii="Times New Roman" w:hAnsi="Times New Roman" w:eastAsia="方正仿宋_GBK" w:cs="方正仿宋_GBK"/>
          <w:sz w:val="30"/>
          <w:szCs w:val="30"/>
          <w:highlight w:val="none"/>
          <w:lang w:val="zh-CN" w:eastAsia="zh-CN"/>
        </w:rPr>
        <w:t>主要原因是本部门是其他事业单位，无机关运行经费支出数。</w:t>
      </w:r>
    </w:p>
    <w:p w14:paraId="11FAC0BE">
      <w:pPr>
        <w:keepNext w:val="0"/>
        <w:keepLines w:val="0"/>
        <w:pageBreakBefore w:val="0"/>
        <w:widowControl/>
        <w:kinsoku/>
        <w:wordWrap/>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黑体" w:cs="黑体"/>
          <w:sz w:val="30"/>
          <w:szCs w:val="30"/>
          <w:highlight w:val="none"/>
          <w:lang w:eastAsia="zh-CN"/>
        </w:rPr>
      </w:pPr>
      <w:r>
        <w:rPr>
          <w:rFonts w:hint="eastAsia" w:ascii="Times New Roman" w:hAnsi="Times New Roman" w:eastAsia="方正黑体_GBK" w:cs="方正黑体_GBK"/>
          <w:sz w:val="30"/>
          <w:szCs w:val="30"/>
          <w:highlight w:val="none"/>
          <w:lang w:val="en-US" w:eastAsia="zh-CN"/>
        </w:rPr>
        <w:t>二、</w:t>
      </w:r>
      <w:r>
        <w:rPr>
          <w:rFonts w:hint="eastAsia" w:ascii="Times New Roman" w:hAnsi="Times New Roman" w:eastAsia="方正黑体_GBK" w:cs="方正黑体_GBK"/>
          <w:sz w:val="30"/>
          <w:szCs w:val="30"/>
          <w:highlight w:val="none"/>
          <w:lang w:eastAsia="zh-CN"/>
        </w:rPr>
        <w:t>国有资产占用情况</w:t>
      </w:r>
    </w:p>
    <w:p w14:paraId="306AEF33">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截至2025年末，</w:t>
      </w:r>
      <w:r>
        <w:rPr>
          <w:rFonts w:hint="eastAsia" w:ascii="Times New Roman" w:hAnsi="Times New Roman" w:eastAsia="方正仿宋_GBK" w:cs="方正仿宋_GBK"/>
          <w:sz w:val="30"/>
          <w:szCs w:val="30"/>
          <w:highlight w:val="none"/>
          <w:lang w:val="zh-CN" w:eastAsia="zh-CN"/>
        </w:rPr>
        <w:t>华宁县机关事务服务中心</w:t>
      </w:r>
      <w:r>
        <w:rPr>
          <w:rFonts w:hint="eastAsia" w:ascii="Times New Roman" w:hAnsi="Times New Roman" w:eastAsia="方正仿宋_GBK" w:cs="方正仿宋_GBK"/>
          <w:sz w:val="30"/>
          <w:szCs w:val="30"/>
          <w:highlight w:val="none"/>
          <w:lang w:val="en-US" w:eastAsia="zh-CN"/>
        </w:rPr>
        <w:t>资产总额49,3005.72元，其中，流动资产42,964.08元，固定资产450,041.64元（净值），对外投资及有价证券0.00元，在建工程0.00元，无形资产0.00元（净值），其他资产0.00元（净值）（具体内容详见附表）。与上年相比，本年资产总额增加28,524.54元，其中固定资产增加17,685.04元。处置房屋建筑物0.00平方米，账面原值0.00元；处置车辆8辆，账面原值2,364,545.00元；报废报损资产0项，账面原值0.00元，实现资产处置收入89,295.40元；出租房屋0.00平方米，账面原值0.00元，实现资产使用收入0.00元。</w:t>
      </w:r>
    </w:p>
    <w:p w14:paraId="6B7D278A">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（国有资产占有使用情况表详见附表）</w:t>
      </w:r>
    </w:p>
    <w:tbl>
      <w:tblPr>
        <w:tblStyle w:val="5"/>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tblGrid>
      <w:tr w14:paraId="44BA1B31">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05AA4F66">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0B13CB8F">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54C45A86">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61C0D436">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46A8F19C">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23B6CF0C">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4C9195C2">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6BDCAE93">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2EE8E59D">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7AAF0802">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4CECA552">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580CBE66">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0398F391">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cs="宋体"/>
                <w:color w:val="000000"/>
                <w:kern w:val="0"/>
                <w:sz w:val="17"/>
                <w:szCs w:val="17"/>
                <w:highlight w:val="none"/>
              </w:rPr>
            </w:pPr>
          </w:p>
        </w:tc>
      </w:tr>
      <w:tr w14:paraId="631AD1B9">
        <w:tblPrEx>
          <w:tblCellMar>
            <w:top w:w="0" w:type="dxa"/>
            <w:left w:w="0" w:type="dxa"/>
            <w:bottom w:w="0" w:type="dxa"/>
            <w:right w:w="0" w:type="dxa"/>
          </w:tblCellMar>
        </w:tblPrEx>
        <w:trPr>
          <w:trHeight w:val="495" w:hRule="atLeast"/>
        </w:trPr>
        <w:tc>
          <w:tcPr>
            <w:tcW w:w="142" w:type="dxa"/>
            <w:noWrap w:val="0"/>
            <w:vAlign w:val="center"/>
          </w:tcPr>
          <w:p w14:paraId="428640FE">
            <w:pPr>
              <w:keepNext w:val="0"/>
              <w:keepLines w:val="0"/>
              <w:pageBreakBefore w:val="0"/>
              <w:widowControl/>
              <w:kinsoku/>
              <w:wordWrap/>
              <w:overflowPunct/>
              <w:topLinePunct w:val="0"/>
              <w:autoSpaceDE/>
              <w:autoSpaceDN/>
              <w:bidi w:val="0"/>
              <w:adjustRightInd/>
              <w:spacing w:line="590" w:lineRule="exact"/>
              <w:jc w:val="left"/>
              <w:textAlignment w:val="auto"/>
              <w:rPr>
                <w:rFonts w:ascii="Times New Roman" w:hAnsi="Times New Roman" w:eastAsia="Times New Roman"/>
                <w:kern w:val="0"/>
                <w:sz w:val="20"/>
                <w:szCs w:val="20"/>
                <w:highlight w:val="none"/>
              </w:rPr>
            </w:pPr>
          </w:p>
        </w:tc>
      </w:tr>
    </w:tbl>
    <w:p w14:paraId="710CFB2F">
      <w:pPr>
        <w:keepNext w:val="0"/>
        <w:keepLines w:val="0"/>
        <w:pageBreakBefore w:val="0"/>
        <w:widowControl/>
        <w:kinsoku/>
        <w:wordWrap/>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三、政府采购支出情况</w:t>
      </w:r>
    </w:p>
    <w:p w14:paraId="54D42A8F">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2025年度，部门政府采购支出总额105,083.00元，其中：政府采购货物支出105,083.00元；政府采购工程支出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元；政府采购服务支出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元。授予中小企业合同金额105,083.00元，其中：授予小微企业合同金额105,083.00元。</w:t>
      </w:r>
    </w:p>
    <w:p w14:paraId="0FBAF62A">
      <w:pPr>
        <w:keepNext w:val="0"/>
        <w:keepLines w:val="0"/>
        <w:pageBreakBefore w:val="0"/>
        <w:widowControl/>
        <w:kinsoku/>
        <w:wordWrap/>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四、部门绩效自评情况</w:t>
      </w:r>
    </w:p>
    <w:p w14:paraId="326D9B6F">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部门绩效自评情况详见附表。</w:t>
      </w:r>
    </w:p>
    <w:p w14:paraId="32203C83">
      <w:pPr>
        <w:keepNext w:val="0"/>
        <w:keepLines w:val="0"/>
        <w:pageBreakBefore w:val="0"/>
        <w:widowControl/>
        <w:kinsoku/>
        <w:wordWrap/>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五、其他重要事项情况说明</w:t>
      </w:r>
    </w:p>
    <w:p w14:paraId="12112829">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仿宋_GB2312" w:cs="仿宋_GB2312"/>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华宁县机关事务服务中心无其他重要事项情况说明。</w:t>
      </w:r>
    </w:p>
    <w:p w14:paraId="69C690C7">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六</w:t>
      </w:r>
      <w:r>
        <w:rPr>
          <w:rFonts w:hint="eastAsia" w:ascii="Times New Roman" w:hAnsi="Times New Roman" w:eastAsia="方正黑体_GBK" w:cs="方正黑体_GBK"/>
          <w:sz w:val="30"/>
          <w:szCs w:val="30"/>
          <w:highlight w:val="none"/>
          <w:lang w:val="en-US" w:eastAsia="zh-CN"/>
        </w:rPr>
        <w:t>、相关口径说明</w:t>
      </w:r>
    </w:p>
    <w:p w14:paraId="2821B765">
      <w:pPr>
        <w:keepNext w:val="0"/>
        <w:keepLines w:val="0"/>
        <w:pageBreakBefore w:val="0"/>
        <w:kinsoku/>
        <w:wordWrap/>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方正楷体_GBK" w:hAnsi="方正楷体_GBK" w:eastAsia="方正楷体_GBK" w:cs="方正楷体_GBK"/>
          <w:sz w:val="30"/>
          <w:szCs w:val="30"/>
          <w:highlight w:val="none"/>
          <w:lang w:eastAsia="zh-CN"/>
        </w:rPr>
        <w:t>（一）</w:t>
      </w:r>
      <w:r>
        <w:rPr>
          <w:rFonts w:hint="eastAsia" w:ascii="Times New Roman" w:hAnsi="Times New Roman" w:eastAsia="方正仿宋_GBK" w:cs="方正仿宋_GBK"/>
          <w:sz w:val="30"/>
          <w:szCs w:val="30"/>
          <w:highlight w:val="none"/>
          <w:lang w:eastAsia="zh-CN"/>
        </w:rPr>
        <w:t>基本支出中人员经费包括工资福利支出和对个人和家庭的补助，公用经费包括商品和服务支出、资本性支出等人员经费以外的支出。</w:t>
      </w:r>
    </w:p>
    <w:p w14:paraId="70B305BE">
      <w:pPr>
        <w:keepNext w:val="0"/>
        <w:keepLines w:val="0"/>
        <w:pageBreakBefore w:val="0"/>
        <w:kinsoku/>
        <w:wordWrap/>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方正楷体_GBK" w:hAnsi="方正楷体_GBK" w:eastAsia="方正楷体_GBK" w:cs="方正楷体_GBK"/>
          <w:sz w:val="30"/>
          <w:szCs w:val="30"/>
          <w:highlight w:val="none"/>
          <w:lang w:eastAsia="zh-CN"/>
        </w:rPr>
        <w:t>（二）</w:t>
      </w:r>
      <w:r>
        <w:rPr>
          <w:rFonts w:hint="eastAsia" w:ascii="Times New Roman" w:hAnsi="Times New Roman" w:eastAsia="方正仿宋_GBK" w:cs="方正仿宋_GBK"/>
          <w:sz w:val="30"/>
          <w:szCs w:val="30"/>
          <w:highlight w:val="none"/>
          <w:lang w:eastAsia="zh-CN"/>
        </w:rPr>
        <w:t>机关运行经费指行政单位和参照公务员法管理的事业单位使用一般公共预算财政拨款安排的基本支出中的公用经费支出。</w:t>
      </w:r>
    </w:p>
    <w:p w14:paraId="60AAC6C0">
      <w:pPr>
        <w:keepNext w:val="0"/>
        <w:keepLines w:val="0"/>
        <w:pageBreakBefore w:val="0"/>
        <w:kinsoku/>
        <w:wordWrap/>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方正楷体_GBK" w:hAnsi="方正楷体_GBK" w:eastAsia="方正楷体_GBK" w:cs="方正楷体_GBK"/>
          <w:sz w:val="30"/>
          <w:szCs w:val="30"/>
          <w:highlight w:val="none"/>
          <w:lang w:eastAsia="zh-CN"/>
        </w:rPr>
        <w:t>（三）</w:t>
      </w:r>
      <w:r>
        <w:rPr>
          <w:rFonts w:hint="eastAsia" w:ascii="Times New Roman" w:hAnsi="Times New Roman" w:eastAsia="方正仿宋_GBK" w:cs="方正仿宋_GBK"/>
          <w:sz w:val="30"/>
          <w:szCs w:val="30"/>
          <w:highlight w:val="none"/>
          <w:lang w:eastAsia="zh-CN"/>
        </w:rPr>
        <w:t>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658DED50">
      <w:pPr>
        <w:keepNext w:val="0"/>
        <w:keepLines w:val="0"/>
        <w:pageBreakBefore w:val="0"/>
        <w:kinsoku/>
        <w:wordWrap/>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方正楷体_GBK" w:hAnsi="方正楷体_GBK" w:eastAsia="方正楷体_GBK" w:cs="方正楷体_GBK"/>
          <w:sz w:val="30"/>
          <w:szCs w:val="30"/>
          <w:highlight w:val="none"/>
          <w:lang w:eastAsia="zh-CN"/>
        </w:rPr>
        <w:t>（四）</w:t>
      </w:r>
      <w:r>
        <w:rPr>
          <w:rFonts w:hint="eastAsia" w:ascii="Times New Roman" w:hAnsi="Times New Roman" w:eastAsia="方正仿宋_GBK" w:cs="方正仿宋_GBK"/>
          <w:sz w:val="30"/>
          <w:szCs w:val="30"/>
          <w:highlight w:val="none"/>
          <w:lang w:eastAsia="zh-CN"/>
        </w:rPr>
        <w:t>本文所称财政拨款“三公”经费决算数是指各部门（含下属单位）当年通过本级财政拨款和以前年度财政拨款结转结余资金安排的因公出国（境）费用、公务用车购置及运行维护费和公务接待费支出数（包括基本支出和项目支出）。</w:t>
      </w:r>
    </w:p>
    <w:p w14:paraId="0CE06CA1">
      <w:pPr>
        <w:keepNext w:val="0"/>
        <w:keepLines w:val="0"/>
        <w:pageBreakBefore w:val="0"/>
        <w:kinsoku/>
        <w:wordWrap/>
        <w:overflowPunct/>
        <w:topLinePunct w:val="0"/>
        <w:autoSpaceDE/>
        <w:autoSpaceDN/>
        <w:bidi w:val="0"/>
        <w:adjustRightInd/>
        <w:spacing w:line="590" w:lineRule="exact"/>
        <w:jc w:val="center"/>
        <w:textAlignment w:val="auto"/>
        <w:outlineLvl w:val="0"/>
        <w:rPr>
          <w:rFonts w:hint="eastAsia" w:ascii="Times New Roman" w:hAnsi="Times New Roman" w:eastAsia="黑体" w:cs="方正小标宋简体"/>
          <w:sz w:val="32"/>
          <w:szCs w:val="32"/>
          <w:highlight w:val="none"/>
        </w:rPr>
      </w:pPr>
      <w:r>
        <w:rPr>
          <w:rFonts w:hint="eastAsia" w:ascii="Times New Roman" w:hAnsi="Times New Roman" w:eastAsia="黑体" w:cs="方正小标宋简体"/>
          <w:sz w:val="32"/>
          <w:szCs w:val="32"/>
          <w:highlight w:val="none"/>
        </w:rPr>
        <w:t>第</w:t>
      </w:r>
      <w:r>
        <w:rPr>
          <w:rFonts w:hint="eastAsia" w:ascii="Times New Roman" w:hAnsi="Times New Roman" w:eastAsia="黑体" w:cs="方正小标宋简体"/>
          <w:sz w:val="32"/>
          <w:szCs w:val="32"/>
          <w:highlight w:val="none"/>
          <w:lang w:eastAsia="zh-CN"/>
        </w:rPr>
        <w:t>五</w:t>
      </w:r>
      <w:r>
        <w:rPr>
          <w:rFonts w:hint="eastAsia" w:ascii="Times New Roman" w:hAnsi="Times New Roman" w:eastAsia="黑体" w:cs="方正小标宋简体"/>
          <w:sz w:val="32"/>
          <w:szCs w:val="32"/>
          <w:highlight w:val="none"/>
        </w:rPr>
        <w:t>部分  名词解释</w:t>
      </w:r>
    </w:p>
    <w:p w14:paraId="5BFE0681">
      <w:pPr>
        <w:keepNext w:val="0"/>
        <w:keepLines w:val="0"/>
        <w:pageBreakBefore w:val="0"/>
        <w:kinsoku/>
        <w:wordWrap/>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3DFE563B">
      <w:pPr>
        <w:keepNext w:val="0"/>
        <w:keepLines w:val="0"/>
        <w:pageBreakBefore w:val="0"/>
        <w:kinsoku/>
        <w:wordWrap/>
        <w:overflowPunct/>
        <w:topLinePunct w:val="0"/>
        <w:autoSpaceDE/>
        <w:autoSpaceDN/>
        <w:bidi w:val="0"/>
        <w:adjustRightInd/>
        <w:spacing w:line="590" w:lineRule="exact"/>
        <w:ind w:firstLine="420" w:firstLineChars="200"/>
        <w:jc w:val="left"/>
        <w:textAlignment w:val="auto"/>
        <w:rPr>
          <w:rFonts w:ascii="Times New Roman" w:hAnsi="Times New Roman"/>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超粗黑_GBK">
    <w:panose1 w:val="02000000000000000000"/>
    <w:charset w:val="86"/>
    <w:family w:val="auto"/>
    <w:pitch w:val="default"/>
    <w:sig w:usb0="A00002BF" w:usb1="38CF7CFA" w:usb2="00082016" w:usb3="00000000" w:csb0="00040001" w:csb1="00000000"/>
  </w:font>
  <w:font w:name="方正隶书_GBK">
    <w:panose1 w:val="02000000000000000000"/>
    <w:charset w:val="86"/>
    <w:family w:val="auto"/>
    <w:pitch w:val="default"/>
    <w:sig w:usb0="00000001" w:usb1="08000000" w:usb2="00000000" w:usb3="00000000" w:csb0="00040000" w:csb1="00000000"/>
  </w:font>
  <w:font w:name="方正魏碑_GBK">
    <w:panose1 w:val="02000000000000000000"/>
    <w:charset w:val="86"/>
    <w:family w:val="auto"/>
    <w:pitch w:val="default"/>
    <w:sig w:usb0="A00002BF" w:usb1="39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行楷_GBK">
    <w:panose1 w:val="02000000000000000000"/>
    <w:charset w:val="86"/>
    <w:family w:val="auto"/>
    <w:pitch w:val="default"/>
    <w:sig w:usb0="A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国标楷体">
    <w:panose1 w:val="020005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华文隶书">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 w:name="隶书">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B03A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FE3C5A3">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2FE3C5A3">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32FB3">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6F407BA8">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2004A">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9531C8"/>
    <w:rsid w:val="0ABF4FBB"/>
    <w:rsid w:val="0C6B64B6"/>
    <w:rsid w:val="0D264B16"/>
    <w:rsid w:val="0E4704E0"/>
    <w:rsid w:val="0E660524"/>
    <w:rsid w:val="15084438"/>
    <w:rsid w:val="171A0D29"/>
    <w:rsid w:val="176B778A"/>
    <w:rsid w:val="19974BAF"/>
    <w:rsid w:val="19C37774"/>
    <w:rsid w:val="1BC017C7"/>
    <w:rsid w:val="1C971DFE"/>
    <w:rsid w:val="1CC23D13"/>
    <w:rsid w:val="1CE622C0"/>
    <w:rsid w:val="1E64652C"/>
    <w:rsid w:val="1EB36E87"/>
    <w:rsid w:val="1FAA7A71"/>
    <w:rsid w:val="228D4F75"/>
    <w:rsid w:val="247F49C1"/>
    <w:rsid w:val="25A95711"/>
    <w:rsid w:val="2752220B"/>
    <w:rsid w:val="281875F6"/>
    <w:rsid w:val="2DB85006"/>
    <w:rsid w:val="2F3A27F7"/>
    <w:rsid w:val="306E74AE"/>
    <w:rsid w:val="30C25BF4"/>
    <w:rsid w:val="31411C21"/>
    <w:rsid w:val="32E27A11"/>
    <w:rsid w:val="33003821"/>
    <w:rsid w:val="33E06443"/>
    <w:rsid w:val="3982065B"/>
    <w:rsid w:val="39C258AA"/>
    <w:rsid w:val="3A005724"/>
    <w:rsid w:val="3BD866F8"/>
    <w:rsid w:val="3D346110"/>
    <w:rsid w:val="3D435AC4"/>
    <w:rsid w:val="3EC63C03"/>
    <w:rsid w:val="3FFD2C14"/>
    <w:rsid w:val="40925627"/>
    <w:rsid w:val="40A105ED"/>
    <w:rsid w:val="40D354F3"/>
    <w:rsid w:val="437630EE"/>
    <w:rsid w:val="45195537"/>
    <w:rsid w:val="4550785F"/>
    <w:rsid w:val="48A835F4"/>
    <w:rsid w:val="4ACB34FB"/>
    <w:rsid w:val="4CD57D2F"/>
    <w:rsid w:val="4E2B0E69"/>
    <w:rsid w:val="4EF241A3"/>
    <w:rsid w:val="537C334A"/>
    <w:rsid w:val="572D17AE"/>
    <w:rsid w:val="59680249"/>
    <w:rsid w:val="59881159"/>
    <w:rsid w:val="5CA95D7B"/>
    <w:rsid w:val="5DA86F33"/>
    <w:rsid w:val="5E016EF4"/>
    <w:rsid w:val="600A2FD4"/>
    <w:rsid w:val="60594642"/>
    <w:rsid w:val="60A65C74"/>
    <w:rsid w:val="61175C5B"/>
    <w:rsid w:val="61AB1D17"/>
    <w:rsid w:val="62390C3F"/>
    <w:rsid w:val="656F1681"/>
    <w:rsid w:val="67EC2E8C"/>
    <w:rsid w:val="6A815C41"/>
    <w:rsid w:val="6B962144"/>
    <w:rsid w:val="6BDD159D"/>
    <w:rsid w:val="6C9679CC"/>
    <w:rsid w:val="6CBE10E9"/>
    <w:rsid w:val="70C361CB"/>
    <w:rsid w:val="7330572F"/>
    <w:rsid w:val="73495B3B"/>
    <w:rsid w:val="750C545F"/>
    <w:rsid w:val="75226483"/>
    <w:rsid w:val="76753BC0"/>
    <w:rsid w:val="79382508"/>
    <w:rsid w:val="794013BD"/>
    <w:rsid w:val="7960473E"/>
    <w:rsid w:val="7A2D36EF"/>
    <w:rsid w:val="7ACA6AFA"/>
    <w:rsid w:val="7B5E4BE7"/>
    <w:rsid w:val="7D6A6A08"/>
    <w:rsid w:val="7E7A42F4"/>
    <w:rsid w:val="7F7D01FB"/>
    <w:rsid w:val="95E75F72"/>
    <w:rsid w:val="FBFD749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 w:type="paragraph" w:customStyle="1" w:styleId="9">
    <w:name w:val="p_MsoNormal"/>
    <w:basedOn w:val="1"/>
    <w:qFormat/>
    <w:uiPriority w:val="0"/>
    <w:pPr>
      <w:jc w:val="left"/>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fmtid="{D5CDD505-2E9C-101B-9397-08002B2CF9AE}" name="KSOProductBuildVer">
    <vt:lpwstr xmlns:vt="http://schemas.openxmlformats.org/officeDocument/2006/docPropsVTypes">2052-11.8.2.12309</vt:lpwstr>
  </property>
  <property xmlns="http://schemas.openxmlformats.org/officeDocument/2006/custom-properties" pid="3" fmtid="{D5CDD505-2E9C-101B-9397-08002B2CF9AE}" name="ICV">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c0e271-8f12-43f6-98a2-5d47e61d4eac}">
  <ds:schemaRefs/>
</ds:datastoreItem>
</file>

<file path=docProps/app.xml><?xml version="1.0" encoding="utf-8"?>
<Properties xmlns="http://schemas.openxmlformats.org/officeDocument/2006/extended-properties" xmlns:vt="http://schemas.openxmlformats.org/officeDocument/2006/docPropsVTypes">
  <Template>Normal.dotm</Template>
  <Pages>17</Pages>
  <Words>7442</Words>
  <Characters>8603</Characters>
  <Lines>0</Lines>
  <Paragraphs>0</Paragraphs>
  <TotalTime>31</TotalTime>
  <ScaleCrop>false</ScaleCrop>
  <LinksUpToDate>false</LinksUpToDate>
  <CharactersWithSpaces>8628</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2025-06-26T09:23:00Z</dcterms:created>
  <dc:creator>jq</dc:creator>
  <cp:lastModifiedBy>kylin</cp:lastModifiedBy>
  <dcterms:modified xsi:type="dcterms:W3CDTF">2026-10-10T09:36:47Z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1CFED01A8AEC94583564C86A45E80ABB_43</vt:lpwstr>
  </property>
  <property fmtid="{D5CDD505-2E9C-101B-9397-08002B2CF9AE}" pid="4" name="KSOTemplateDocerSaveRecord">
    <vt:lpwstr>eyJoZGlkIjoiNGEyNDc5M2RlYTUzMTQ4ODI1MmJhMGVlOWViYjU4YzgiLCJ1c2VySWQiOiIzODc2MTc4MzYifQ==</vt:lpwstr>
  </property>
</Properties>
</file>