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74B2F">
      <w:pPr>
        <w:keepNext w:val="0"/>
        <w:keepLines w:val="0"/>
        <w:pageBreakBefore w:val="0"/>
        <w:kinsoku/>
        <w:overflowPunct/>
        <w:topLinePunct w:val="0"/>
        <w:autoSpaceDE/>
        <w:autoSpaceDN/>
        <w:bidi w:val="0"/>
        <w:spacing w:line="590" w:lineRule="exact"/>
        <w:jc w:val="center"/>
        <w:textAlignment w:val="auto"/>
        <w:outlineLvl w:val="0"/>
        <w:rPr>
          <w:rFonts w:hint="eastAsia" w:ascii="Times New Roman" w:hAnsi="Times New Roman" w:eastAsia="方正小标宋简体" w:cs="方正小标宋简体"/>
          <w:sz w:val="36"/>
          <w:szCs w:val="36"/>
          <w:highlight w:val="none"/>
        </w:rPr>
      </w:pPr>
      <w:r>
        <w:rPr>
          <w:rFonts w:hint="eastAsia" w:ascii="Times New Roman" w:hAnsi="Times New Roman" w:eastAsia="方正小标宋简体"/>
          <w:sz w:val="36"/>
          <w:lang w:val="zh-CN"/>
        </w:rPr>
        <w:t>中国共产党华宁县委员会办公室</w:t>
      </w:r>
      <w:bookmarkStart w:id="0" w:name="_GoBack"/>
      <w:bookmarkEnd w:id="0"/>
      <w:r>
        <w:rPr>
          <w:rFonts w:hint="eastAsia" w:ascii="方正小标宋简体" w:hAnsi="方正小标宋简体" w:eastAsia="方正小标宋简体" w:cs="方正小标宋简体"/>
          <w:sz w:val="36"/>
          <w:lang w:val="en-US" w:eastAsia="zh-CN"/>
        </w:rPr>
        <w:t>2025</w:t>
      </w:r>
      <w:r>
        <w:rPr>
          <w:rFonts w:hint="eastAsia" w:ascii="Times New Roman" w:hAnsi="Times New Roman" w:eastAsia="方正小标宋简体"/>
          <w:sz w:val="36"/>
          <w:lang w:val="en-US" w:eastAsia="zh-CN"/>
        </w:rPr>
        <w:t>年度</w:t>
      </w:r>
      <w:r>
        <w:rPr>
          <w:rFonts w:hint="eastAsia" w:ascii="Times New Roman" w:hAnsi="Times New Roman" w:eastAsia="方正小标宋简体"/>
          <w:sz w:val="36"/>
          <w:lang w:val="zh-CN"/>
        </w:rPr>
        <w:t>部</w:t>
      </w:r>
      <w:r>
        <w:rPr>
          <w:rFonts w:hint="eastAsia" w:ascii="Times New Roman" w:hAnsi="Times New Roman" w:eastAsia="方正小标宋简体" w:cs="方正小标宋简体"/>
          <w:sz w:val="36"/>
          <w:szCs w:val="36"/>
          <w:highlight w:val="none"/>
        </w:rPr>
        <w:t>门决算</w:t>
      </w:r>
    </w:p>
    <w:p w14:paraId="5BDD48B3">
      <w:pPr>
        <w:keepNext w:val="0"/>
        <w:keepLines w:val="0"/>
        <w:pageBreakBefore w:val="0"/>
        <w:kinsoku/>
        <w:overflowPunct/>
        <w:topLinePunct w:val="0"/>
        <w:autoSpaceDE/>
        <w:autoSpaceDN/>
        <w:bidi w:val="0"/>
        <w:spacing w:line="590" w:lineRule="exact"/>
        <w:jc w:val="center"/>
        <w:textAlignment w:val="auto"/>
        <w:outlineLvl w:val="0"/>
        <w:rPr>
          <w:rFonts w:hint="eastAsia" w:ascii="Times New Roman" w:hAnsi="Times New Roman" w:eastAsia="方正小标宋简体" w:cs="方正小标宋简体"/>
          <w:sz w:val="36"/>
          <w:szCs w:val="36"/>
          <w:highlight w:val="none"/>
          <w:lang w:eastAsia="zh-CN"/>
        </w:rPr>
      </w:pPr>
      <w:r>
        <w:rPr>
          <w:rFonts w:hint="eastAsia" w:ascii="Times New Roman" w:hAnsi="Times New Roman" w:eastAsia="方正小标宋简体" w:cs="方正小标宋简体"/>
          <w:sz w:val="36"/>
          <w:szCs w:val="36"/>
          <w:highlight w:val="none"/>
          <w:lang w:eastAsia="zh-CN"/>
        </w:rPr>
        <w:t>目录</w:t>
      </w:r>
    </w:p>
    <w:p w14:paraId="59FDFFE5">
      <w:pPr>
        <w:keepNext w:val="0"/>
        <w:keepLines w:val="0"/>
        <w:pageBreakBefore w:val="0"/>
        <w:kinsoku/>
        <w:overflowPunct/>
        <w:topLinePunct w:val="0"/>
        <w:autoSpaceDE/>
        <w:autoSpaceDN/>
        <w:bidi w:val="0"/>
        <w:spacing w:line="590" w:lineRule="exact"/>
        <w:jc w:val="left"/>
        <w:textAlignment w:val="auto"/>
        <w:rPr>
          <w:rFonts w:hint="eastAsia" w:ascii="Times New Roman" w:hAnsi="Times New Roman" w:eastAsia="黑体"/>
          <w:sz w:val="30"/>
          <w:szCs w:val="30"/>
          <w:highlight w:val="none"/>
        </w:rPr>
      </w:pPr>
    </w:p>
    <w:p w14:paraId="2AA9DE47">
      <w:pPr>
        <w:keepNext w:val="0"/>
        <w:keepLines w:val="0"/>
        <w:pageBreakBefore w:val="0"/>
        <w:kinsoku/>
        <w:overflowPunct/>
        <w:topLinePunct w:val="0"/>
        <w:autoSpaceDE/>
        <w:autoSpaceDN/>
        <w:bidi w:val="0"/>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第一部分  </w:t>
      </w:r>
      <w:r>
        <w:rPr>
          <w:rFonts w:hint="eastAsia" w:ascii="Times New Roman" w:hAnsi="Times New Roman" w:eastAsia="黑体"/>
          <w:sz w:val="30"/>
          <w:szCs w:val="30"/>
          <w:highlight w:val="none"/>
          <w:lang w:eastAsia="zh-CN"/>
        </w:rPr>
        <w:t>部门</w:t>
      </w:r>
      <w:r>
        <w:rPr>
          <w:rFonts w:hint="eastAsia" w:ascii="Times New Roman" w:hAnsi="Times New Roman" w:eastAsia="黑体"/>
          <w:sz w:val="30"/>
          <w:szCs w:val="30"/>
          <w:highlight w:val="none"/>
        </w:rPr>
        <w:t>概况</w:t>
      </w:r>
    </w:p>
    <w:p w14:paraId="3B95AEFC">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一、主要职</w:t>
      </w:r>
      <w:r>
        <w:rPr>
          <w:rFonts w:hint="eastAsia" w:ascii="Times New Roman" w:hAnsi="Times New Roman" w:eastAsia="楷体"/>
          <w:sz w:val="30"/>
          <w:szCs w:val="30"/>
          <w:highlight w:val="none"/>
          <w:lang w:eastAsia="zh-CN"/>
        </w:rPr>
        <w:t>责</w:t>
      </w:r>
    </w:p>
    <w:p w14:paraId="21205A41">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二、</w:t>
      </w:r>
      <w:r>
        <w:rPr>
          <w:rFonts w:hint="eastAsia" w:ascii="Times New Roman" w:hAnsi="Times New Roman" w:eastAsia="楷体"/>
          <w:sz w:val="30"/>
          <w:szCs w:val="30"/>
          <w:highlight w:val="none"/>
          <w:lang w:eastAsia="zh-CN"/>
        </w:rPr>
        <w:t>基本情况</w:t>
      </w:r>
    </w:p>
    <w:p w14:paraId="4A42C254">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三、重点工作概述</w:t>
      </w:r>
    </w:p>
    <w:p w14:paraId="0879D490">
      <w:pPr>
        <w:keepNext w:val="0"/>
        <w:keepLines w:val="0"/>
        <w:pageBreakBefore w:val="0"/>
        <w:kinsoku/>
        <w:overflowPunct/>
        <w:topLinePunct w:val="0"/>
        <w:autoSpaceDE/>
        <w:autoSpaceDN/>
        <w:bidi w:val="0"/>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第二部分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部门决算表</w:t>
      </w:r>
    </w:p>
    <w:p w14:paraId="2362F724">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一、收入支出决算表</w:t>
      </w:r>
    </w:p>
    <w:p w14:paraId="2121467D">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二、收入决算表</w:t>
      </w:r>
    </w:p>
    <w:p w14:paraId="63250C15">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三、支出决算表</w:t>
      </w:r>
    </w:p>
    <w:p w14:paraId="14AA21B8">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四、财政拨款收入支出决算表</w:t>
      </w:r>
    </w:p>
    <w:p w14:paraId="0C384002">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五、一般公共预算财政拨款收入支出决算表</w:t>
      </w:r>
    </w:p>
    <w:p w14:paraId="42A90F11">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六、一般公共预算财政拨款基本支出决算表</w:t>
      </w:r>
    </w:p>
    <w:p w14:paraId="026E1EA6">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七、</w:t>
      </w:r>
      <w:r>
        <w:rPr>
          <w:rFonts w:hint="eastAsia" w:ascii="Times New Roman" w:hAnsi="Times New Roman" w:eastAsia="楷体"/>
          <w:sz w:val="30"/>
          <w:szCs w:val="30"/>
          <w:highlight w:val="none"/>
          <w:lang w:eastAsia="zh-CN"/>
        </w:rPr>
        <w:t>一般公共预算财政拨款项目支出决算表</w:t>
      </w:r>
    </w:p>
    <w:p w14:paraId="702DF49F">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八</w:t>
      </w:r>
      <w:r>
        <w:rPr>
          <w:rFonts w:hint="eastAsia" w:ascii="Times New Roman" w:hAnsi="Times New Roman" w:eastAsia="楷体"/>
          <w:sz w:val="30"/>
          <w:szCs w:val="30"/>
          <w:highlight w:val="none"/>
        </w:rPr>
        <w:t>、政府性基金预算财政拨款收入支出决算表</w:t>
      </w:r>
    </w:p>
    <w:p w14:paraId="4D392F7B">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九、国有资本经营预算财政拨款收入支出决算表</w:t>
      </w:r>
    </w:p>
    <w:p w14:paraId="23845272">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十</w:t>
      </w:r>
      <w:r>
        <w:rPr>
          <w:rFonts w:hint="eastAsia" w:ascii="Times New Roman" w:hAnsi="Times New Roman" w:eastAsia="楷体"/>
          <w:sz w:val="30"/>
          <w:szCs w:val="30"/>
          <w:highlight w:val="none"/>
        </w:rPr>
        <w:t>、</w:t>
      </w:r>
      <w:r>
        <w:rPr>
          <w:rFonts w:hint="eastAsia" w:ascii="Times New Roman" w:hAnsi="Times New Roman" w:eastAsia="楷体"/>
          <w:sz w:val="30"/>
          <w:szCs w:val="30"/>
          <w:highlight w:val="none"/>
          <w:lang w:eastAsia="zh-CN"/>
        </w:rPr>
        <w:t>财政拨款</w:t>
      </w:r>
      <w:r>
        <w:rPr>
          <w:rFonts w:hint="eastAsia" w:ascii="Times New Roman" w:hAnsi="Times New Roman" w:eastAsia="楷体"/>
          <w:sz w:val="30"/>
          <w:szCs w:val="30"/>
          <w:highlight w:val="none"/>
        </w:rPr>
        <w:t>“三公”经费、行政参公单位机关运行经费情况表</w:t>
      </w:r>
    </w:p>
    <w:p w14:paraId="69C48A49">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val="en-US" w:eastAsia="zh-CN"/>
        </w:rPr>
        <w:t>十一、一般公共预算财政拨款“三公”经费情况表</w:t>
      </w:r>
    </w:p>
    <w:p w14:paraId="52F5E40B">
      <w:pPr>
        <w:keepNext w:val="0"/>
        <w:keepLines w:val="0"/>
        <w:pageBreakBefore w:val="0"/>
        <w:kinsoku/>
        <w:overflowPunct/>
        <w:topLinePunct w:val="0"/>
        <w:autoSpaceDE/>
        <w:autoSpaceDN/>
        <w:bidi w:val="0"/>
        <w:spacing w:line="590" w:lineRule="exact"/>
        <w:jc w:val="left"/>
        <w:textAlignment w:val="auto"/>
        <w:outlineLvl w:val="0"/>
        <w:rPr>
          <w:rFonts w:hint="eastAsia" w:ascii="Times New Roman" w:hAnsi="Times New Roman" w:eastAsia="楷体"/>
          <w:sz w:val="30"/>
          <w:szCs w:val="30"/>
          <w:highlight w:val="none"/>
        </w:rPr>
      </w:pPr>
      <w:r>
        <w:rPr>
          <w:rFonts w:hint="eastAsia" w:ascii="Times New Roman" w:hAnsi="Times New Roman" w:eastAsia="黑体"/>
          <w:sz w:val="30"/>
          <w:szCs w:val="30"/>
          <w:highlight w:val="none"/>
        </w:rPr>
        <w:t>第三部</w:t>
      </w:r>
      <w:r>
        <w:rPr>
          <w:rFonts w:hint="eastAsia" w:ascii="Times New Roman" w:hAnsi="Times New Roman" w:eastAsia="黑体"/>
          <w:sz w:val="30"/>
          <w:szCs w:val="30"/>
          <w:highlight w:val="none"/>
          <w:lang w:eastAsia="zh-CN"/>
        </w:rPr>
        <w:t>分</w:t>
      </w:r>
      <w:r>
        <w:rPr>
          <w:rFonts w:hint="eastAsia" w:ascii="Times New Roman" w:hAnsi="Times New Roman" w:eastAsia="黑体"/>
          <w:sz w:val="30"/>
          <w:szCs w:val="30"/>
          <w:highlight w:val="none"/>
        </w:rPr>
        <w:t xml:space="preserve">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部门决算情况说明</w:t>
      </w:r>
    </w:p>
    <w:p w14:paraId="6AE87320">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一、收入决算情况说明</w:t>
      </w:r>
    </w:p>
    <w:p w14:paraId="48F1ED54">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二、支出决算情况说明</w:t>
      </w:r>
    </w:p>
    <w:p w14:paraId="78B66589">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三、一般公共预算财政拨款支出决算情况说明</w:t>
      </w:r>
    </w:p>
    <w:p w14:paraId="6CEA49E8">
      <w:pPr>
        <w:keepNext w:val="0"/>
        <w:keepLines w:val="0"/>
        <w:pageBreakBefore w:val="0"/>
        <w:widowControl/>
        <w:kinsoku/>
        <w:overflowPunct/>
        <w:topLinePunct w:val="0"/>
        <w:autoSpaceDE/>
        <w:autoSpaceDN/>
        <w:bidi w:val="0"/>
        <w:snapToGrid w:val="0"/>
        <w:spacing w:before="100" w:after="100"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四、财政拨款“三公”经费支出决算情况说明</w:t>
      </w:r>
    </w:p>
    <w:p w14:paraId="44442FFF">
      <w:pPr>
        <w:keepNext w:val="0"/>
        <w:keepLines w:val="0"/>
        <w:pageBreakBefore w:val="0"/>
        <w:widowControl/>
        <w:kinsoku/>
        <w:overflowPunct/>
        <w:topLinePunct w:val="0"/>
        <w:autoSpaceDE/>
        <w:autoSpaceDN/>
        <w:bidi w:val="0"/>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lang w:eastAsia="zh-CN"/>
        </w:rPr>
        <w:t>第四部分</w:t>
      </w:r>
      <w:r>
        <w:rPr>
          <w:rFonts w:hint="eastAsia" w:ascii="Times New Roman" w:hAnsi="Times New Roman" w:eastAsia="楷体"/>
          <w:sz w:val="30"/>
          <w:szCs w:val="30"/>
          <w:highlight w:val="none"/>
          <w:lang w:val="en-US" w:eastAsia="zh-CN"/>
        </w:rPr>
        <w:t xml:space="preserve">  </w:t>
      </w:r>
      <w:r>
        <w:rPr>
          <w:rFonts w:hint="eastAsia" w:ascii="Times New Roman" w:hAnsi="Times New Roman" w:eastAsia="黑体"/>
          <w:sz w:val="30"/>
          <w:szCs w:val="30"/>
          <w:highlight w:val="none"/>
        </w:rPr>
        <w:t>其他重要事项及相关口径情况说明</w:t>
      </w:r>
    </w:p>
    <w:p w14:paraId="5DC23AFC">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一、</w:t>
      </w:r>
      <w:r>
        <w:rPr>
          <w:rFonts w:hint="eastAsia" w:ascii="Times New Roman" w:hAnsi="Times New Roman" w:eastAsia="楷体"/>
          <w:sz w:val="30"/>
          <w:szCs w:val="30"/>
          <w:highlight w:val="none"/>
        </w:rPr>
        <w:t>机关运行经费支出情况</w:t>
      </w:r>
    </w:p>
    <w:p w14:paraId="418F2628">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二、</w:t>
      </w:r>
      <w:r>
        <w:rPr>
          <w:rFonts w:hint="eastAsia" w:ascii="Times New Roman" w:hAnsi="Times New Roman" w:eastAsia="楷体"/>
          <w:sz w:val="30"/>
          <w:szCs w:val="30"/>
          <w:highlight w:val="none"/>
        </w:rPr>
        <w:t>国有资产占用情况</w:t>
      </w:r>
    </w:p>
    <w:p w14:paraId="2F505807">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w:t>
      </w:r>
      <w:r>
        <w:rPr>
          <w:rFonts w:hint="eastAsia" w:ascii="Times New Roman" w:hAnsi="Times New Roman" w:eastAsia="楷体"/>
          <w:sz w:val="30"/>
          <w:szCs w:val="30"/>
          <w:highlight w:val="none"/>
        </w:rPr>
        <w:t>政府采购支出情况</w:t>
      </w:r>
    </w:p>
    <w:p w14:paraId="4CFC2548">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四、</w:t>
      </w:r>
      <w:r>
        <w:rPr>
          <w:rFonts w:hint="eastAsia" w:ascii="Times New Roman" w:hAnsi="Times New Roman" w:eastAsia="楷体"/>
          <w:sz w:val="30"/>
          <w:szCs w:val="30"/>
          <w:highlight w:val="none"/>
          <w:lang w:val="en-US" w:eastAsia="zh-CN"/>
        </w:rPr>
        <w:t>部门绩效自评情况</w:t>
      </w:r>
    </w:p>
    <w:p w14:paraId="6ED69CB9">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五、</w:t>
      </w:r>
      <w:r>
        <w:rPr>
          <w:rFonts w:hint="eastAsia" w:ascii="Times New Roman" w:hAnsi="Times New Roman" w:eastAsia="楷体"/>
          <w:sz w:val="30"/>
          <w:szCs w:val="30"/>
          <w:highlight w:val="none"/>
          <w:lang w:val="en-US" w:eastAsia="zh-CN"/>
        </w:rPr>
        <w:t>其他重要事项情况说明</w:t>
      </w:r>
    </w:p>
    <w:p w14:paraId="30C770D3">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六、相关口径说明</w:t>
      </w:r>
    </w:p>
    <w:p w14:paraId="35D279EF">
      <w:pPr>
        <w:keepNext w:val="0"/>
        <w:keepLines w:val="0"/>
        <w:pageBreakBefore w:val="0"/>
        <w:widowControl/>
        <w:kinsoku/>
        <w:overflowPunct/>
        <w:topLinePunct w:val="0"/>
        <w:autoSpaceDE/>
        <w:autoSpaceDN/>
        <w:bidi w:val="0"/>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第</w:t>
      </w:r>
      <w:r>
        <w:rPr>
          <w:rFonts w:hint="eastAsia" w:ascii="Times New Roman" w:hAnsi="Times New Roman" w:eastAsia="黑体"/>
          <w:sz w:val="30"/>
          <w:szCs w:val="30"/>
          <w:highlight w:val="none"/>
          <w:lang w:eastAsia="zh-CN"/>
        </w:rPr>
        <w:t>五</w:t>
      </w:r>
      <w:r>
        <w:rPr>
          <w:rFonts w:hint="eastAsia" w:ascii="Times New Roman" w:hAnsi="Times New Roman" w:eastAsia="黑体"/>
          <w:sz w:val="30"/>
          <w:szCs w:val="30"/>
          <w:highlight w:val="none"/>
        </w:rPr>
        <w:t>部分  名词解释</w:t>
      </w:r>
    </w:p>
    <w:p w14:paraId="5A892B5F">
      <w:pPr>
        <w:keepNext w:val="0"/>
        <w:keepLines w:val="0"/>
        <w:pageBreakBefore w:val="0"/>
        <w:kinsoku/>
        <w:overflowPunct/>
        <w:topLinePunct w:val="0"/>
        <w:autoSpaceDE/>
        <w:autoSpaceDN/>
        <w:bidi w:val="0"/>
        <w:spacing w:line="590" w:lineRule="exact"/>
        <w:jc w:val="both"/>
        <w:textAlignment w:val="auto"/>
        <w:rPr>
          <w:rFonts w:hint="eastAsia" w:ascii="Times New Roman" w:hAnsi="Times New Roman" w:eastAsia="黑体"/>
          <w:sz w:val="32"/>
          <w:szCs w:val="32"/>
          <w:highlight w:val="none"/>
        </w:rPr>
      </w:pPr>
    </w:p>
    <w:p w14:paraId="4FA56125">
      <w:pPr>
        <w:keepNext w:val="0"/>
        <w:keepLines w:val="0"/>
        <w:pageBreakBefore w:val="0"/>
        <w:kinsoku/>
        <w:overflowPunct/>
        <w:topLinePunct w:val="0"/>
        <w:autoSpaceDE/>
        <w:autoSpaceDN/>
        <w:bidi w:val="0"/>
        <w:spacing w:line="590" w:lineRule="exact"/>
        <w:jc w:val="both"/>
        <w:textAlignment w:val="auto"/>
        <w:rPr>
          <w:rFonts w:hint="eastAsia" w:ascii="Times New Roman" w:hAnsi="Times New Roman" w:eastAsia="黑体"/>
          <w:sz w:val="32"/>
          <w:szCs w:val="32"/>
          <w:highlight w:val="none"/>
        </w:rPr>
      </w:pPr>
    </w:p>
    <w:p w14:paraId="0A37D52F">
      <w:pPr>
        <w:keepNext w:val="0"/>
        <w:keepLines w:val="0"/>
        <w:pageBreakBefore w:val="0"/>
        <w:kinsoku/>
        <w:overflowPunct/>
        <w:topLinePunct w:val="0"/>
        <w:autoSpaceDE/>
        <w:autoSpaceDN/>
        <w:bidi w:val="0"/>
        <w:spacing w:line="590" w:lineRule="exact"/>
        <w:jc w:val="both"/>
        <w:textAlignment w:val="auto"/>
        <w:rPr>
          <w:rFonts w:hint="eastAsia" w:ascii="Times New Roman" w:hAnsi="Times New Roman" w:eastAsia="黑体"/>
          <w:sz w:val="32"/>
          <w:szCs w:val="32"/>
          <w:highlight w:val="none"/>
        </w:rPr>
      </w:pPr>
    </w:p>
    <w:p w14:paraId="09199ABE">
      <w:pPr>
        <w:keepNext w:val="0"/>
        <w:keepLines w:val="0"/>
        <w:pageBreakBefore w:val="0"/>
        <w:kinsoku/>
        <w:overflowPunct/>
        <w:topLinePunct w:val="0"/>
        <w:autoSpaceDE/>
        <w:autoSpaceDN/>
        <w:bidi w:val="0"/>
        <w:spacing w:line="590" w:lineRule="exact"/>
        <w:jc w:val="both"/>
        <w:textAlignment w:val="auto"/>
        <w:rPr>
          <w:rFonts w:hint="eastAsia" w:ascii="Times New Roman" w:hAnsi="Times New Roman" w:eastAsia="黑体"/>
          <w:sz w:val="32"/>
          <w:szCs w:val="32"/>
          <w:highlight w:val="none"/>
        </w:rPr>
      </w:pPr>
    </w:p>
    <w:p w14:paraId="0753C6C9">
      <w:pPr>
        <w:keepNext w:val="0"/>
        <w:keepLines w:val="0"/>
        <w:pageBreakBefore w:val="0"/>
        <w:kinsoku/>
        <w:overflowPunct/>
        <w:topLinePunct w:val="0"/>
        <w:autoSpaceDE/>
        <w:autoSpaceDN/>
        <w:bidi w:val="0"/>
        <w:spacing w:line="590" w:lineRule="exact"/>
        <w:jc w:val="both"/>
        <w:textAlignment w:val="auto"/>
        <w:rPr>
          <w:rFonts w:hint="eastAsia" w:ascii="Times New Roman" w:hAnsi="Times New Roman" w:eastAsia="黑体"/>
          <w:sz w:val="32"/>
          <w:szCs w:val="32"/>
          <w:highlight w:val="none"/>
        </w:rPr>
      </w:pPr>
    </w:p>
    <w:p w14:paraId="48954CEC">
      <w:pPr>
        <w:keepNext w:val="0"/>
        <w:keepLines w:val="0"/>
        <w:pageBreakBefore w:val="0"/>
        <w:kinsoku/>
        <w:overflowPunct/>
        <w:topLinePunct w:val="0"/>
        <w:autoSpaceDE/>
        <w:autoSpaceDN/>
        <w:bidi w:val="0"/>
        <w:spacing w:line="590" w:lineRule="exact"/>
        <w:jc w:val="both"/>
        <w:textAlignment w:val="auto"/>
        <w:rPr>
          <w:rFonts w:hint="eastAsia" w:ascii="Times New Roman" w:hAnsi="Times New Roman" w:eastAsia="黑体"/>
          <w:sz w:val="32"/>
          <w:szCs w:val="32"/>
          <w:highlight w:val="none"/>
        </w:rPr>
      </w:pPr>
    </w:p>
    <w:p w14:paraId="77761FCB">
      <w:pPr>
        <w:keepNext w:val="0"/>
        <w:keepLines w:val="0"/>
        <w:pageBreakBefore w:val="0"/>
        <w:kinsoku/>
        <w:overflowPunct/>
        <w:topLinePunct w:val="0"/>
        <w:autoSpaceDE/>
        <w:autoSpaceDN/>
        <w:bidi w:val="0"/>
        <w:spacing w:line="590" w:lineRule="exact"/>
        <w:jc w:val="both"/>
        <w:textAlignment w:val="auto"/>
        <w:rPr>
          <w:rFonts w:hint="eastAsia" w:ascii="Times New Roman" w:hAnsi="Times New Roman" w:eastAsia="黑体"/>
          <w:sz w:val="32"/>
          <w:szCs w:val="32"/>
          <w:highlight w:val="none"/>
        </w:rPr>
      </w:pPr>
    </w:p>
    <w:p w14:paraId="158E6521">
      <w:pPr>
        <w:keepNext w:val="0"/>
        <w:keepLines w:val="0"/>
        <w:pageBreakBefore w:val="0"/>
        <w:kinsoku/>
        <w:overflowPunct/>
        <w:topLinePunct w:val="0"/>
        <w:autoSpaceDE/>
        <w:autoSpaceDN/>
        <w:bidi w:val="0"/>
        <w:spacing w:line="590" w:lineRule="exact"/>
        <w:jc w:val="both"/>
        <w:textAlignment w:val="auto"/>
        <w:rPr>
          <w:rFonts w:hint="eastAsia" w:ascii="Times New Roman" w:hAnsi="Times New Roman" w:eastAsia="黑体"/>
          <w:sz w:val="32"/>
          <w:szCs w:val="32"/>
          <w:highlight w:val="none"/>
        </w:rPr>
      </w:pPr>
    </w:p>
    <w:p w14:paraId="7F0ABC3F">
      <w:pPr>
        <w:keepNext w:val="0"/>
        <w:keepLines w:val="0"/>
        <w:pageBreakBefore w:val="0"/>
        <w:kinsoku/>
        <w:overflowPunct/>
        <w:topLinePunct w:val="0"/>
        <w:autoSpaceDE/>
        <w:autoSpaceDN/>
        <w:bidi w:val="0"/>
        <w:spacing w:line="590" w:lineRule="exact"/>
        <w:jc w:val="both"/>
        <w:textAlignment w:val="auto"/>
        <w:rPr>
          <w:rFonts w:hint="eastAsia" w:ascii="Times New Roman" w:hAnsi="Times New Roman" w:eastAsia="黑体"/>
          <w:sz w:val="32"/>
          <w:szCs w:val="32"/>
          <w:highlight w:val="none"/>
        </w:rPr>
      </w:pPr>
    </w:p>
    <w:p w14:paraId="74F37CFB">
      <w:pPr>
        <w:keepNext w:val="0"/>
        <w:keepLines w:val="0"/>
        <w:pageBreakBefore w:val="0"/>
        <w:kinsoku/>
        <w:overflowPunct/>
        <w:topLinePunct w:val="0"/>
        <w:autoSpaceDE/>
        <w:autoSpaceDN/>
        <w:bidi w:val="0"/>
        <w:spacing w:line="590" w:lineRule="exact"/>
        <w:jc w:val="both"/>
        <w:textAlignment w:val="auto"/>
        <w:rPr>
          <w:rFonts w:hint="eastAsia" w:ascii="Times New Roman" w:hAnsi="Times New Roman" w:eastAsia="黑体"/>
          <w:sz w:val="32"/>
          <w:szCs w:val="32"/>
          <w:highlight w:val="none"/>
        </w:rPr>
      </w:pPr>
    </w:p>
    <w:p w14:paraId="4AA8EE20">
      <w:pPr>
        <w:keepNext w:val="0"/>
        <w:keepLines w:val="0"/>
        <w:pageBreakBefore w:val="0"/>
        <w:kinsoku/>
        <w:overflowPunct/>
        <w:topLinePunct w:val="0"/>
        <w:autoSpaceDE/>
        <w:autoSpaceDN/>
        <w:bidi w:val="0"/>
        <w:spacing w:line="590" w:lineRule="exact"/>
        <w:jc w:val="both"/>
        <w:textAlignment w:val="auto"/>
        <w:rPr>
          <w:rFonts w:hint="eastAsia" w:ascii="Times New Roman" w:hAnsi="Times New Roman" w:eastAsia="黑体"/>
          <w:sz w:val="32"/>
          <w:szCs w:val="32"/>
          <w:highlight w:val="none"/>
        </w:rPr>
      </w:pPr>
    </w:p>
    <w:p w14:paraId="7B1BC8B5">
      <w:pPr>
        <w:keepNext w:val="0"/>
        <w:keepLines w:val="0"/>
        <w:pageBreakBefore w:val="0"/>
        <w:kinsoku/>
        <w:overflowPunct/>
        <w:topLinePunct w:val="0"/>
        <w:autoSpaceDE/>
        <w:autoSpaceDN/>
        <w:bidi w:val="0"/>
        <w:spacing w:line="590" w:lineRule="exact"/>
        <w:jc w:val="center"/>
        <w:textAlignment w:val="auto"/>
        <w:outlineLvl w:val="0"/>
        <w:rPr>
          <w:rFonts w:hint="eastAsia" w:ascii="Times New Roman" w:hAnsi="Times New Roman" w:eastAsia="黑体"/>
          <w:sz w:val="32"/>
          <w:szCs w:val="32"/>
          <w:highlight w:val="none"/>
          <w:lang w:eastAsia="zh-CN"/>
        </w:rPr>
      </w:pPr>
      <w:r>
        <w:rPr>
          <w:rFonts w:hint="eastAsia" w:ascii="Times New Roman" w:hAnsi="Times New Roman" w:eastAsia="方正黑体_GBK" w:cs="方正黑体_GBK"/>
          <w:sz w:val="32"/>
          <w:szCs w:val="32"/>
          <w:highlight w:val="none"/>
        </w:rPr>
        <w:t xml:space="preserve">第一部分  </w:t>
      </w:r>
      <w:r>
        <w:rPr>
          <w:rFonts w:hint="eastAsia" w:ascii="Times New Roman" w:hAnsi="Times New Roman" w:eastAsia="方正黑体_GBK" w:cs="方正黑体_GBK"/>
          <w:sz w:val="32"/>
          <w:szCs w:val="32"/>
          <w:highlight w:val="none"/>
          <w:lang w:eastAsia="zh-CN"/>
        </w:rPr>
        <w:t>部门概况</w:t>
      </w:r>
    </w:p>
    <w:p w14:paraId="7DF62722">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黑体"/>
          <w:sz w:val="30"/>
          <w:szCs w:val="30"/>
          <w:highlight w:val="none"/>
          <w:lang w:eastAsia="zh-CN"/>
        </w:rPr>
      </w:pPr>
      <w:r>
        <w:rPr>
          <w:rFonts w:hint="eastAsia" w:ascii="Times New Roman" w:hAnsi="Times New Roman" w:eastAsia="方正黑体_GBK" w:cs="方正黑体_GBK"/>
          <w:sz w:val="30"/>
          <w:szCs w:val="30"/>
          <w:highlight w:val="none"/>
        </w:rPr>
        <w:t>一、主要</w:t>
      </w:r>
      <w:r>
        <w:rPr>
          <w:rFonts w:hint="eastAsia" w:ascii="Times New Roman" w:hAnsi="Times New Roman" w:eastAsia="方正黑体_GBK" w:cs="方正黑体_GBK"/>
          <w:sz w:val="30"/>
          <w:szCs w:val="30"/>
          <w:highlight w:val="none"/>
          <w:lang w:eastAsia="zh-CN"/>
        </w:rPr>
        <w:t>职责</w:t>
      </w:r>
    </w:p>
    <w:p w14:paraId="584CE0E5">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仿宋_GBK" w:cs="方正仿宋_GBK"/>
          <w:bCs/>
          <w:szCs w:val="30"/>
          <w:highlight w:val="none"/>
          <w:lang w:eastAsia="zh-CN"/>
        </w:rPr>
        <w:t>中共华宁县委办公室是县委的综合部门，根据相关规定，主要工作职责如下：</w:t>
      </w:r>
    </w:p>
    <w:p w14:paraId="4BE6ACA7">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（一）</w:t>
      </w:r>
      <w:r>
        <w:rPr>
          <w:rFonts w:hint="eastAsia" w:ascii="Times New Roman" w:hAnsi="Times New Roman" w:eastAsia="方正仿宋_GBK" w:cs="方正仿宋_GBK"/>
          <w:bCs/>
          <w:szCs w:val="30"/>
          <w:highlight w:val="none"/>
          <w:lang w:eastAsia="zh-CN"/>
        </w:rPr>
        <w:t>围绕党的中心工作、中央和省委、市委、县委的工作部署及县委领导的要求开展工作。负责党的路线、方针、政策以及中央、省委和市委、县委的决策、决定、规定、工作部署的贯彻落实并督促检查，调查研究，收集反馈信息，综合重要情况的工作。</w:t>
      </w:r>
    </w:p>
    <w:p w14:paraId="2B3A3026">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（二）</w:t>
      </w:r>
      <w:r>
        <w:rPr>
          <w:rFonts w:hint="eastAsia" w:ascii="Times New Roman" w:hAnsi="Times New Roman" w:eastAsia="方正仿宋_GBK" w:cs="方正仿宋_GBK"/>
          <w:bCs/>
          <w:szCs w:val="30"/>
          <w:highlight w:val="none"/>
          <w:lang w:eastAsia="zh-CN"/>
        </w:rPr>
        <w:t>承担县委部分文件、文稿的起草；负责县委文件、文稿的修改、校核、签清、送审和印发；负责县委党内法规的具体服务工作；负责承办各乡镇（街道）、各部门向县委的请示、报告。</w:t>
      </w:r>
    </w:p>
    <w:p w14:paraId="7266DC65">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（三）</w:t>
      </w:r>
      <w:r>
        <w:rPr>
          <w:rFonts w:hint="eastAsia" w:ascii="Times New Roman" w:hAnsi="Times New Roman" w:eastAsia="方正仿宋_GBK" w:cs="方正仿宋_GBK"/>
          <w:bCs/>
          <w:szCs w:val="30"/>
          <w:highlight w:val="none"/>
          <w:lang w:eastAsia="zh-CN"/>
        </w:rPr>
        <w:t>负责县委各种会议的安排、组织和会务工作；负责县委领导重要公务活动的组织安排、协调和联络工作。</w:t>
      </w:r>
    </w:p>
    <w:p w14:paraId="3D85C183">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（四）</w:t>
      </w:r>
      <w:r>
        <w:rPr>
          <w:rFonts w:hint="eastAsia" w:ascii="Times New Roman" w:hAnsi="Times New Roman" w:eastAsia="方正仿宋_GBK" w:cs="方正仿宋_GBK"/>
          <w:bCs/>
          <w:szCs w:val="30"/>
          <w:highlight w:val="none"/>
          <w:lang w:eastAsia="zh-CN"/>
        </w:rPr>
        <w:t>负责党政军领导机关的文件、信函的传递和保密工作；负责县委文件、信函的日常文书处理及文件、内部刊物的印制、校核、分发、清退和归档工作。</w:t>
      </w:r>
    </w:p>
    <w:p w14:paraId="3F2DC938">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（五）</w:t>
      </w:r>
      <w:r>
        <w:rPr>
          <w:rFonts w:hint="eastAsia" w:ascii="Times New Roman" w:hAnsi="Times New Roman" w:eastAsia="方正仿宋_GBK" w:cs="方正仿宋_GBK"/>
          <w:bCs/>
          <w:szCs w:val="30"/>
          <w:highlight w:val="none"/>
          <w:lang w:eastAsia="zh-CN"/>
        </w:rPr>
        <w:t>负责或协助完成党和国家领导人、省委领导和省市重要来宾的接待和安全警卫协调工作；负责县委领导和县委机关的安全保卫工作。</w:t>
      </w:r>
    </w:p>
    <w:p w14:paraId="2A31F9FA">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（六）</w:t>
      </w:r>
      <w:r>
        <w:rPr>
          <w:rFonts w:hint="eastAsia" w:ascii="Times New Roman" w:hAnsi="Times New Roman" w:eastAsia="方正仿宋_GBK" w:cs="方正仿宋_GBK"/>
          <w:bCs/>
          <w:szCs w:val="30"/>
          <w:highlight w:val="none"/>
          <w:lang w:eastAsia="zh-CN"/>
        </w:rPr>
        <w:t>负责县委值班工作及公共突发事件信息综合处置和有关协调调度工作。</w:t>
      </w:r>
    </w:p>
    <w:p w14:paraId="4ACA6118">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（七）</w:t>
      </w:r>
      <w:r>
        <w:rPr>
          <w:rFonts w:hint="eastAsia" w:ascii="Times New Roman" w:hAnsi="Times New Roman" w:eastAsia="方正仿宋_GBK" w:cs="方正仿宋_GBK"/>
          <w:bCs/>
          <w:szCs w:val="30"/>
          <w:highlight w:val="none"/>
          <w:lang w:eastAsia="zh-CN"/>
        </w:rPr>
        <w:t>负责县委机关的后勤保障服务工作。</w:t>
      </w:r>
    </w:p>
    <w:p w14:paraId="637E83F4">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（八）</w:t>
      </w:r>
      <w:r>
        <w:rPr>
          <w:rFonts w:hint="eastAsia" w:ascii="Times New Roman" w:hAnsi="Times New Roman" w:eastAsia="方正仿宋_GBK" w:cs="方正仿宋_GBK"/>
          <w:bCs/>
          <w:szCs w:val="30"/>
          <w:highlight w:val="none"/>
          <w:lang w:eastAsia="zh-CN"/>
        </w:rPr>
        <w:t>承担县档案局、县委机要和保密局、县委国安委办公室、县委深改委办公室的工作职责。</w:t>
      </w:r>
    </w:p>
    <w:p w14:paraId="22E6DBB2">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eastAsia="方正仿宋_GBK" w:cs="方正仿宋_GBK"/>
          <w:bCs/>
          <w:szCs w:val="30"/>
          <w:highlight w:val="none"/>
          <w:lang w:eastAsia="zh-CN"/>
        </w:rPr>
      </w:pPr>
      <w:r>
        <w:rPr>
          <w:rFonts w:hint="eastAsia" w:ascii="Times New Roman" w:hAnsi="Times New Roman" w:eastAsia="方正楷体_GBK" w:cs="方正楷体_GBK"/>
          <w:bCs/>
          <w:szCs w:val="30"/>
          <w:highlight w:val="none"/>
          <w:lang w:eastAsia="zh-CN"/>
        </w:rPr>
        <w:t>（九）</w:t>
      </w:r>
      <w:r>
        <w:rPr>
          <w:rFonts w:hint="eastAsia" w:ascii="Times New Roman" w:hAnsi="Times New Roman" w:eastAsia="方正仿宋_GBK" w:cs="方正仿宋_GBK"/>
          <w:bCs/>
          <w:szCs w:val="30"/>
          <w:highlight w:val="none"/>
          <w:lang w:eastAsia="zh-CN"/>
        </w:rPr>
        <w:t>负责对县档案馆、县关工委办的管理和工作指导。</w:t>
      </w:r>
    </w:p>
    <w:p w14:paraId="6E2BCE96">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ascii="Times New Roman" w:hAnsi="Times New Roman"/>
          <w:bCs/>
          <w:szCs w:val="30"/>
          <w:highlight w:val="none"/>
        </w:rPr>
      </w:pPr>
      <w:r>
        <w:rPr>
          <w:rFonts w:hint="eastAsia" w:ascii="Times New Roman" w:hAnsi="Times New Roman" w:eastAsia="方正楷体_GBK" w:cs="方正楷体_GBK"/>
          <w:bCs/>
          <w:szCs w:val="30"/>
          <w:highlight w:val="none"/>
          <w:lang w:eastAsia="zh-CN"/>
        </w:rPr>
        <w:t>（十）</w:t>
      </w:r>
      <w:r>
        <w:rPr>
          <w:rFonts w:hint="eastAsia" w:ascii="Times New Roman" w:hAnsi="Times New Roman" w:eastAsia="方正仿宋_GBK" w:cs="方正仿宋_GBK"/>
          <w:bCs/>
          <w:szCs w:val="30"/>
          <w:highlight w:val="none"/>
          <w:lang w:eastAsia="zh-CN"/>
        </w:rPr>
        <w:t>办理市委、市委办公室和县委交办的其他工作。</w:t>
      </w:r>
    </w:p>
    <w:p w14:paraId="70ED8957">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二、基本情况</w:t>
      </w:r>
    </w:p>
    <w:p w14:paraId="03D9BD01">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bCs/>
          <w:kern w:val="2"/>
          <w:sz w:val="30"/>
          <w:szCs w:val="30"/>
          <w:highlight w:val="none"/>
          <w:lang w:val="en-US" w:eastAsia="zh-CN" w:bidi="ar-SA"/>
        </w:rPr>
      </w:pPr>
      <w:r>
        <w:rPr>
          <w:rFonts w:hint="eastAsia" w:ascii="Times New Roman" w:hAnsi="Times New Roman" w:eastAsia="方正楷体_GBK" w:cs="方正楷体_GBK"/>
          <w:bCs/>
          <w:kern w:val="2"/>
          <w:sz w:val="30"/>
          <w:szCs w:val="30"/>
          <w:highlight w:val="none"/>
          <w:lang w:val="en-US" w:eastAsia="zh-CN" w:bidi="ar-SA"/>
        </w:rPr>
        <w:t>（一）机构设置情况</w:t>
      </w:r>
    </w:p>
    <w:p w14:paraId="32449429">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我单位共设置11个内设机构，包括：政研室、秘书股、信息调研股、办文股、会议活动股、行政股、法规股、督查督办股、机要保密股、综合考评股、档案股。</w:t>
      </w:r>
    </w:p>
    <w:p w14:paraId="0BFB3446">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所属单位3个，分别是：</w:t>
      </w:r>
    </w:p>
    <w:p w14:paraId="5770BCCA">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1.中国共产党华宁县委员会办公室（本级）；</w:t>
      </w:r>
    </w:p>
    <w:p w14:paraId="033660EB">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2.华宁县档案馆；</w:t>
      </w:r>
    </w:p>
    <w:p w14:paraId="0C74EBB5">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3.华宁县关心下一代工作委员会办公室。</w:t>
      </w:r>
    </w:p>
    <w:p w14:paraId="4307E92E">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bCs/>
          <w:kern w:val="2"/>
          <w:sz w:val="30"/>
          <w:szCs w:val="30"/>
          <w:highlight w:val="none"/>
          <w:lang w:val="en-US" w:eastAsia="zh-CN" w:bidi="ar-SA"/>
        </w:rPr>
      </w:pPr>
      <w:r>
        <w:rPr>
          <w:rFonts w:hint="eastAsia" w:ascii="Times New Roman" w:hAnsi="Times New Roman" w:eastAsia="方正楷体_GBK" w:cs="方正楷体_GBK"/>
          <w:bCs/>
          <w:kern w:val="2"/>
          <w:sz w:val="30"/>
          <w:szCs w:val="30"/>
          <w:highlight w:val="none"/>
          <w:lang w:val="en-US" w:eastAsia="zh-CN" w:bidi="ar-SA"/>
        </w:rPr>
        <w:t>（二）决算单位构成情况</w:t>
      </w:r>
    </w:p>
    <w:p w14:paraId="376C206D">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纳入我部门2025年度部门决算编报的单位共3个。分别是：</w:t>
      </w:r>
    </w:p>
    <w:p w14:paraId="7558B7A3">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1.中国共产党华宁县委员会办公室（本级）；</w:t>
      </w:r>
    </w:p>
    <w:p w14:paraId="59CFC2DD">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2.华宁县档案馆；</w:t>
      </w:r>
    </w:p>
    <w:p w14:paraId="26112189">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3.华宁县关心下一代工作委员会办公室</w:t>
      </w:r>
    </w:p>
    <w:p w14:paraId="308792C8">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纳入我部门2025年度部门决算编报的单位与我部门所属单位范围保持一致。</w:t>
      </w:r>
    </w:p>
    <w:p w14:paraId="39B5B615">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bCs/>
          <w:kern w:val="2"/>
          <w:sz w:val="30"/>
          <w:szCs w:val="30"/>
          <w:highlight w:val="none"/>
          <w:lang w:val="en-US" w:eastAsia="zh-CN" w:bidi="ar-SA"/>
        </w:rPr>
      </w:pPr>
      <w:r>
        <w:rPr>
          <w:rFonts w:hint="eastAsia" w:ascii="Times New Roman" w:hAnsi="Times New Roman" w:eastAsia="方正楷体_GBK" w:cs="方正楷体_GBK"/>
          <w:bCs/>
          <w:kern w:val="2"/>
          <w:sz w:val="30"/>
          <w:szCs w:val="30"/>
          <w:highlight w:val="none"/>
          <w:lang w:val="en-US" w:eastAsia="zh-CN" w:bidi="ar-SA"/>
        </w:rPr>
        <w:t>（三）部门人员和车辆的编制及实有情况</w:t>
      </w:r>
    </w:p>
    <w:p w14:paraId="10341520">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我部门2025年末编制内实有人员54人。包括财政拨款开支经费的：公务员24人，参照公务员法管理人员0人，事业管理人员和专业技术人员23人，机关和事业工人7人；经费自理人员0人。</w:t>
      </w:r>
    </w:p>
    <w:p w14:paraId="75893F67">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我部门2025年末其他人员2人。包括财政拨款开支经费的人员2人；经费自理人员0人。</w:t>
      </w:r>
    </w:p>
    <w:p w14:paraId="0B46B54E">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年末单位发放离退休费的离退休人员共计0人（离休0人，退休0人）。年末由养老保险基金发放养老金的离退休人员38人（离休0人，退休38人）。</w:t>
      </w:r>
    </w:p>
    <w:p w14:paraId="6479173F">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仿宋_GB2312" w:cs="Arial"/>
          <w:color w:val="FF0000"/>
          <w:kern w:val="0"/>
          <w:sz w:val="30"/>
          <w:szCs w:val="30"/>
          <w:highlight w:val="none"/>
        </w:rPr>
      </w:pPr>
      <w:r>
        <w:rPr>
          <w:rFonts w:hint="eastAsia" w:ascii="Times New Roman" w:hAnsi="Times New Roman" w:eastAsia="方正仿宋_GBK" w:cs="方正仿宋_GBK"/>
          <w:sz w:val="30"/>
          <w:szCs w:val="30"/>
          <w:highlight w:val="none"/>
          <w:lang w:val="en-US" w:eastAsia="zh-CN"/>
        </w:rPr>
        <w:t>车辆编制4辆，在编实有车辆3辆，超编0辆。</w:t>
      </w:r>
    </w:p>
    <w:p w14:paraId="3FC5721C">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三、重点工作概述</w:t>
      </w:r>
    </w:p>
    <w:p w14:paraId="6CD0A897">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w:t>
      </w:r>
      <w:r>
        <w:rPr>
          <w:rFonts w:hint="eastAsia" w:ascii="Times New Roman" w:hAnsi="Times New Roman" w:eastAsia="方正仿宋_GBK" w:cs="方正仿宋_GBK"/>
          <w:sz w:val="30"/>
          <w:szCs w:val="30"/>
          <w:highlight w:val="none"/>
          <w:lang w:val="en-US" w:eastAsia="zh-CN"/>
        </w:rPr>
        <w:t>注重理论指导、突出求实创新，严把行文、内容、质量、核对“四关”，做好各项会议材料、领导讲话、工作汇报的起草、撰写。</w:t>
      </w:r>
    </w:p>
    <w:p w14:paraId="7DD5CEEB">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w:t>
      </w:r>
      <w:r>
        <w:rPr>
          <w:rFonts w:hint="eastAsia" w:ascii="Times New Roman" w:hAnsi="Times New Roman" w:eastAsia="方正仿宋_GBK" w:cs="方正仿宋_GBK"/>
          <w:sz w:val="30"/>
          <w:szCs w:val="30"/>
          <w:highlight w:val="none"/>
          <w:lang w:val="en-US" w:eastAsia="zh-CN"/>
        </w:rPr>
        <w:t>充分发挥党委信息“耳目”“喉舌”作用，以县委中心工作为主线，加强信息收集和编报。</w:t>
      </w:r>
    </w:p>
    <w:p w14:paraId="53CD00D8">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（三）</w:t>
      </w:r>
      <w:r>
        <w:rPr>
          <w:rFonts w:hint="eastAsia" w:ascii="Times New Roman" w:hAnsi="Times New Roman" w:eastAsia="方正仿宋_GBK" w:cs="方正仿宋_GBK"/>
          <w:sz w:val="30"/>
          <w:szCs w:val="30"/>
          <w:highlight w:val="none"/>
          <w:lang w:val="en-US" w:eastAsia="zh-CN"/>
        </w:rPr>
        <w:t>坚持把综合协调贯穿办公室工作各环节，确保县委日常工作有序高效运转，落实各项财经纪律，做好省市领导调研华宁、县委重要会议等重大活动的后勤保障工作。</w:t>
      </w:r>
    </w:p>
    <w:p w14:paraId="500DB920">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（四）</w:t>
      </w:r>
      <w:r>
        <w:rPr>
          <w:rFonts w:hint="eastAsia" w:ascii="Times New Roman" w:hAnsi="Times New Roman" w:eastAsia="方正仿宋_GBK" w:cs="方正仿宋_GBK"/>
          <w:sz w:val="30"/>
          <w:szCs w:val="30"/>
          <w:highlight w:val="none"/>
          <w:lang w:val="en-US" w:eastAsia="zh-CN"/>
        </w:rPr>
        <w:t>强化责任落实，紧紧围绕市县的重大决策部署和重要工作，对各项工作进行目标任务分解，做到事事有落实、件件有回音。</w:t>
      </w:r>
    </w:p>
    <w:p w14:paraId="639D9571">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仿宋_GB2312" w:cs="Arial"/>
          <w:kern w:val="0"/>
          <w:sz w:val="30"/>
          <w:szCs w:val="30"/>
          <w:highlight w:val="none"/>
        </w:rPr>
      </w:pPr>
      <w:r>
        <w:rPr>
          <w:rFonts w:hint="eastAsia" w:ascii="Times New Roman" w:hAnsi="Times New Roman" w:eastAsia="方正楷体_GBK" w:cs="方正楷体_GBK"/>
          <w:sz w:val="30"/>
          <w:szCs w:val="30"/>
          <w:highlight w:val="none"/>
          <w:lang w:val="en-US" w:eastAsia="zh-CN"/>
        </w:rPr>
        <w:t>（五）</w:t>
      </w:r>
      <w:r>
        <w:rPr>
          <w:rFonts w:hint="eastAsia" w:ascii="Times New Roman" w:hAnsi="Times New Roman" w:eastAsia="方正仿宋_GBK" w:cs="方正仿宋_GBK"/>
          <w:sz w:val="30"/>
          <w:szCs w:val="30"/>
          <w:highlight w:val="none"/>
          <w:lang w:val="en-US" w:eastAsia="zh-CN"/>
        </w:rPr>
        <w:t>牢固树立“围绕中心搞调研、服务决策谋大事”的思想，精心当好改革参谋，充分发挥县委深改办职能作用，认真抓好各级政府改革举措落实。</w:t>
      </w:r>
    </w:p>
    <w:p w14:paraId="0E83F68B">
      <w:pPr>
        <w:keepNext w:val="0"/>
        <w:keepLines w:val="0"/>
        <w:pageBreakBefore w:val="0"/>
        <w:kinsoku/>
        <w:overflowPunct/>
        <w:topLinePunct w:val="0"/>
        <w:autoSpaceDE/>
        <w:autoSpaceDN/>
        <w:bidi w:val="0"/>
        <w:spacing w:line="590" w:lineRule="exact"/>
        <w:jc w:val="center"/>
        <w:textAlignment w:val="auto"/>
        <w:outlineLvl w:val="0"/>
        <w:rPr>
          <w:rFonts w:hint="eastAsia" w:ascii="Times New Roman" w:hAnsi="Times New Roman" w:eastAsia="黑体"/>
          <w:sz w:val="32"/>
          <w:szCs w:val="32"/>
          <w:highlight w:val="none"/>
        </w:rPr>
      </w:pPr>
      <w:r>
        <w:rPr>
          <w:rFonts w:hint="eastAsia" w:ascii="Times New Roman" w:hAnsi="Times New Roman" w:eastAsia="方正黑体_GBK" w:cs="方正黑体_GBK"/>
          <w:sz w:val="32"/>
          <w:szCs w:val="32"/>
          <w:highlight w:val="none"/>
        </w:rPr>
        <w:t xml:space="preserve">第二部分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部门决算表</w:t>
      </w:r>
    </w:p>
    <w:p w14:paraId="5BC28EAE">
      <w:pPr>
        <w:keepNext w:val="0"/>
        <w:keepLines w:val="0"/>
        <w:pageBreakBefore w:val="0"/>
        <w:kinsoku/>
        <w:overflowPunct/>
        <w:topLinePunct w:val="0"/>
        <w:autoSpaceDE/>
        <w:autoSpaceDN/>
        <w:bidi w:val="0"/>
        <w:spacing w:line="590" w:lineRule="exact"/>
        <w:ind w:firstLine="600" w:firstLineChars="200"/>
        <w:jc w:val="center"/>
        <w:textAlignment w:val="auto"/>
        <w:outlineLvl w:val="1"/>
        <w:rPr>
          <w:rFonts w:hint="eastAsia" w:ascii="Times New Roman" w:hAnsi="Times New Roman" w:eastAsia="仿宋_GB2312"/>
          <w:sz w:val="30"/>
          <w:szCs w:val="30"/>
          <w:highlight w:val="none"/>
        </w:rPr>
      </w:pPr>
      <w:r>
        <w:rPr>
          <w:rFonts w:hint="eastAsia" w:ascii="Times New Roman" w:hAnsi="Times New Roman" w:eastAsia="方正仿宋_GBK" w:cs="方正仿宋_GBK"/>
          <w:sz w:val="30"/>
          <w:szCs w:val="30"/>
          <w:highlight w:val="none"/>
        </w:rPr>
        <w:t>（详见附件）</w:t>
      </w:r>
    </w:p>
    <w:p w14:paraId="0F7713B1">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本部门2025年度无政府性基金预算财政拨款收入，也没有用政府性基金预算财政拨款收入安排的支出，故《政府性基金预算财政拨款收入支出决算表》为空表。</w:t>
      </w:r>
    </w:p>
    <w:p w14:paraId="12B627DA">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仿宋_GB2312"/>
          <w:sz w:val="30"/>
          <w:szCs w:val="30"/>
          <w:highlight w:val="none"/>
          <w:lang w:eastAsia="zh-CN"/>
        </w:rPr>
      </w:pPr>
      <w:r>
        <w:rPr>
          <w:rFonts w:hint="eastAsia" w:ascii="Times New Roman" w:hAnsi="Times New Roman" w:eastAsia="方正仿宋_GBK" w:cs="方正仿宋_GBK"/>
          <w:sz w:val="30"/>
          <w:szCs w:val="30"/>
          <w:highlight w:val="none"/>
          <w:lang w:val="en-US" w:eastAsia="zh-CN"/>
        </w:rPr>
        <w:t>本部门2025年度无国有资本经营预算财政拨款收入，也没有用国有资本经营预算财政拨款收入安排的支出，故《国有资本经营预算财政拨款收入支出决算表》为空表。</w:t>
      </w:r>
    </w:p>
    <w:p w14:paraId="336AD01C">
      <w:pPr>
        <w:keepNext w:val="0"/>
        <w:keepLines w:val="0"/>
        <w:pageBreakBefore w:val="0"/>
        <w:kinsoku/>
        <w:overflowPunct/>
        <w:topLinePunct w:val="0"/>
        <w:autoSpaceDE/>
        <w:autoSpaceDN/>
        <w:bidi w:val="0"/>
        <w:spacing w:line="590" w:lineRule="exact"/>
        <w:jc w:val="center"/>
        <w:textAlignment w:val="auto"/>
        <w:outlineLvl w:val="0"/>
        <w:rPr>
          <w:rFonts w:hint="eastAsia" w:ascii="Times New Roman" w:hAnsi="Times New Roman" w:eastAsia="黑体"/>
          <w:sz w:val="32"/>
          <w:szCs w:val="32"/>
          <w:highlight w:val="none"/>
        </w:rPr>
      </w:pPr>
      <w:r>
        <w:rPr>
          <w:rFonts w:hint="eastAsia" w:ascii="Times New Roman" w:hAnsi="Times New Roman" w:eastAsia="方正黑体_GBK" w:cs="方正黑体_GBK"/>
          <w:sz w:val="32"/>
          <w:szCs w:val="32"/>
          <w:highlight w:val="none"/>
        </w:rPr>
        <w:t>第三部</w:t>
      </w:r>
      <w:r>
        <w:rPr>
          <w:rFonts w:hint="eastAsia" w:ascii="Times New Roman" w:hAnsi="Times New Roman" w:eastAsia="方正黑体_GBK" w:cs="方正黑体_GBK"/>
          <w:sz w:val="32"/>
          <w:szCs w:val="32"/>
          <w:highlight w:val="none"/>
          <w:lang w:eastAsia="zh-CN"/>
        </w:rPr>
        <w:t>分</w:t>
      </w:r>
      <w:r>
        <w:rPr>
          <w:rFonts w:hint="eastAsia" w:ascii="Times New Roman" w:hAnsi="Times New Roman" w:eastAsia="方正黑体_GBK" w:cs="方正黑体_GBK"/>
          <w:sz w:val="32"/>
          <w:szCs w:val="32"/>
          <w:highlight w:val="none"/>
        </w:rPr>
        <w:t xml:space="preserve">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部门决算情况说明</w:t>
      </w:r>
    </w:p>
    <w:p w14:paraId="3414167E">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一、收入决算情况说明</w:t>
      </w:r>
    </w:p>
    <w:p w14:paraId="7E9AD751">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zh-CN" w:eastAsia="zh-CN"/>
        </w:rPr>
        <w:t>中国共产党华宁县委员会办公室</w:t>
      </w:r>
      <w:r>
        <w:rPr>
          <w:rFonts w:hint="eastAsia" w:ascii="Times New Roman" w:hAnsi="Times New Roman" w:eastAsia="方正仿宋_GBK" w:cs="方正仿宋_GBK"/>
          <w:sz w:val="30"/>
          <w:szCs w:val="30"/>
          <w:highlight w:val="none"/>
          <w:lang w:val="en-US" w:eastAsia="zh-CN"/>
        </w:rPr>
        <w:t>2025年度收入合计</w:t>
      </w:r>
      <w:r>
        <w:rPr>
          <w:rFonts w:hint="eastAsia" w:ascii="Times New Roman" w:hAnsi="Times New Roman" w:eastAsia="方正仿宋_GBK" w:cs="方正仿宋_GBK"/>
          <w:sz w:val="30"/>
          <w:szCs w:val="30"/>
          <w:highlight w:val="none"/>
          <w:lang w:val="zh-CN" w:eastAsia="zh-CN"/>
        </w:rPr>
        <w:t>12</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589</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447.86</w:t>
      </w:r>
      <w:r>
        <w:rPr>
          <w:rFonts w:hint="eastAsia" w:ascii="Times New Roman" w:hAnsi="Times New Roman" w:eastAsia="方正仿宋_GBK" w:cs="方正仿宋_GBK"/>
          <w:sz w:val="30"/>
          <w:szCs w:val="30"/>
          <w:highlight w:val="none"/>
          <w:lang w:val="en-US" w:eastAsia="zh-CN"/>
        </w:rPr>
        <w:t>元。其中：财政拨款收入</w:t>
      </w:r>
      <w:r>
        <w:rPr>
          <w:rFonts w:hint="eastAsia" w:ascii="Times New Roman" w:hAnsi="Times New Roman" w:eastAsia="方正仿宋_GBK" w:cs="方正仿宋_GBK"/>
          <w:sz w:val="30"/>
          <w:szCs w:val="30"/>
          <w:highlight w:val="none"/>
          <w:lang w:val="zh-CN" w:eastAsia="zh-CN"/>
        </w:rPr>
        <w:t>12</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525</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410.54</w:t>
      </w:r>
      <w:r>
        <w:rPr>
          <w:rFonts w:hint="eastAsia" w:ascii="Times New Roman" w:hAnsi="Times New Roman" w:eastAsia="方正仿宋_GBK" w:cs="方正仿宋_GBK"/>
          <w:sz w:val="30"/>
          <w:szCs w:val="30"/>
          <w:highlight w:val="none"/>
          <w:lang w:val="en-US" w:eastAsia="zh-CN"/>
        </w:rPr>
        <w:t>元，占总收入的</w:t>
      </w:r>
      <w:r>
        <w:rPr>
          <w:rFonts w:hint="eastAsia" w:ascii="Times New Roman" w:hAnsi="Times New Roman" w:eastAsia="方正仿宋_GBK" w:cs="方正仿宋_GBK"/>
          <w:sz w:val="30"/>
          <w:szCs w:val="30"/>
          <w:highlight w:val="none"/>
          <w:lang w:val="zh-CN" w:eastAsia="zh-CN"/>
        </w:rPr>
        <w:t>99.49</w:t>
      </w:r>
      <w:r>
        <w:rPr>
          <w:rFonts w:hint="eastAsia" w:ascii="Times New Roman" w:hAnsi="Times New Roman" w:eastAsia="方正仿宋_GBK" w:cs="方正仿宋_GBK"/>
          <w:sz w:val="30"/>
          <w:szCs w:val="30"/>
          <w:highlight w:val="none"/>
          <w:lang w:val="en-US" w:eastAsia="zh-CN"/>
        </w:rPr>
        <w:t>%；上级补助收入</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元，占总收入的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%；事业收入</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元（含教育收费</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元），占总收入的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%；经营收入</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元，占总收入的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%；附属单位上缴收入</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元，占总收入的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%；其他收入</w:t>
      </w:r>
      <w:r>
        <w:rPr>
          <w:rFonts w:hint="eastAsia" w:ascii="Times New Roman" w:hAnsi="Times New Roman" w:eastAsia="方正仿宋_GBK" w:cs="方正仿宋_GBK"/>
          <w:sz w:val="30"/>
          <w:szCs w:val="30"/>
          <w:highlight w:val="none"/>
          <w:lang w:val="zh-CN" w:eastAsia="zh-CN"/>
        </w:rPr>
        <w:t>64</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037.32</w:t>
      </w:r>
      <w:r>
        <w:rPr>
          <w:rFonts w:hint="eastAsia" w:ascii="Times New Roman" w:hAnsi="Times New Roman" w:eastAsia="方正仿宋_GBK" w:cs="方正仿宋_GBK"/>
          <w:sz w:val="30"/>
          <w:szCs w:val="30"/>
          <w:highlight w:val="none"/>
          <w:lang w:val="en-US" w:eastAsia="zh-CN"/>
        </w:rPr>
        <w:t>元，占总收入的</w:t>
      </w:r>
      <w:r>
        <w:rPr>
          <w:rFonts w:hint="eastAsia" w:ascii="Times New Roman" w:hAnsi="Times New Roman" w:eastAsia="方正仿宋_GBK" w:cs="方正仿宋_GBK"/>
          <w:sz w:val="30"/>
          <w:szCs w:val="30"/>
          <w:highlight w:val="none"/>
          <w:lang w:val="zh-CN" w:eastAsia="zh-CN"/>
        </w:rPr>
        <w:t>0.51</w:t>
      </w:r>
      <w:r>
        <w:rPr>
          <w:rFonts w:hint="eastAsia" w:ascii="Times New Roman" w:hAnsi="Times New Roman" w:eastAsia="方正仿宋_GBK" w:cs="方正仿宋_GBK"/>
          <w:sz w:val="30"/>
          <w:szCs w:val="30"/>
          <w:highlight w:val="none"/>
          <w:lang w:val="en-US" w:eastAsia="zh-CN"/>
        </w:rPr>
        <w:t>%。</w:t>
      </w:r>
    </w:p>
    <w:p w14:paraId="778377FE">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与上年相比，收入合计增加3</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439</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925.64元，增长37.60%。其中：财政拨款收入增加3</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497</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841.01元，增长38.75%；上级补助收入增加0.00元，增长0.00%；事业收入增加0.00元，增长0.00%；经营收入增加0.00元，增长0.00%；附属单位上缴收入增加0.00元，增长0.00%；其他收入</w:t>
      </w:r>
      <w:r>
        <w:rPr>
          <w:rFonts w:hint="eastAsia" w:ascii="Times New Roman" w:hAnsi="Times New Roman" w:eastAsia="方正仿宋_GBK" w:cs="方正仿宋_GBK"/>
          <w:sz w:val="30"/>
          <w:szCs w:val="30"/>
          <w:highlight w:val="none"/>
          <w:lang w:val="en-US" w:eastAsia="zh-CN"/>
        </w:rPr>
        <w:t>减少</w:t>
      </w:r>
      <w:r>
        <w:rPr>
          <w:rFonts w:hint="eastAsia" w:ascii="Times New Roman" w:hAnsi="Times New Roman" w:eastAsia="方正仿宋_GBK" w:cs="方正仿宋_GBK"/>
          <w:sz w:val="30"/>
          <w:szCs w:val="30"/>
          <w:highlight w:val="none"/>
          <w:lang w:val="zh-CN" w:eastAsia="zh-CN"/>
        </w:rPr>
        <w:t>57</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915.37元，</w:t>
      </w:r>
      <w:r>
        <w:rPr>
          <w:rFonts w:hint="eastAsia" w:ascii="Times New Roman" w:hAnsi="Times New Roman" w:eastAsia="方正仿宋_GBK" w:cs="方正仿宋_GBK"/>
          <w:sz w:val="30"/>
          <w:szCs w:val="30"/>
          <w:highlight w:val="none"/>
          <w:lang w:val="en-US" w:eastAsia="zh-CN"/>
        </w:rPr>
        <w:t>下降</w:t>
      </w:r>
      <w:r>
        <w:rPr>
          <w:rFonts w:hint="eastAsia" w:ascii="Times New Roman" w:hAnsi="Times New Roman" w:eastAsia="方正仿宋_GBK" w:cs="方正仿宋_GBK"/>
          <w:sz w:val="30"/>
          <w:szCs w:val="30"/>
          <w:highlight w:val="none"/>
          <w:lang w:val="zh-CN" w:eastAsia="zh-CN"/>
        </w:rPr>
        <w:t>47.49%。主要原因一是在职在编实有人数较上年度增加3人，相应人员经费和公用经费增加；二是本年度项目支出较上年度有所增加；三是未收到上级补助、社会捐赠等不确定收入，导致其他收入减少。</w:t>
      </w:r>
    </w:p>
    <w:p w14:paraId="74F41898">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二、支出决算情况说明</w:t>
      </w:r>
    </w:p>
    <w:p w14:paraId="2C167D79">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中国共产党华宁县委员会办公室</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lang w:val="zh-CN" w:eastAsia="zh-CN"/>
        </w:rPr>
        <w:t>支出合计12</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615</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920.17元。其中：基本支出9</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872</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886.29元，占总支出的78.26％；项目支出2</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743</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033.88元，占总支出的21.74％；上缴上级支出0.00元，占总支出的0.00％；经营支出0.00元，占总支出的0.00％；对附属单位补助支出0.00元，占总支出的0.00％。</w:t>
      </w:r>
    </w:p>
    <w:p w14:paraId="104F8DEE">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与上年相比，支出合计增加3</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550</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864.35元，增长39.17%。其中：基本支出增加1</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578</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423.03元，增长19.03%；项目支出增加1</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972</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441.32元，增长255.96%；上缴上级支出增加0.00元，增长0.00%；经营支出增加0.00元，增长0.00%；对附属单位补助支出增加0.00元，增长0.00%。主要原因一是在职在编实有人数较上年度增加3人，相应人员经费和公用经费增加；二是本年度项目支出较上年度有所增加。</w:t>
      </w:r>
    </w:p>
    <w:p w14:paraId="7FD693B6">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（一）基本支出情况</w:t>
      </w:r>
    </w:p>
    <w:p w14:paraId="4DA58C1E">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lang w:val="zh-CN" w:eastAsia="zh-CN"/>
        </w:rPr>
        <w:t>用于保障中国共产党华宁县委员会办公室机关、下属事业单位等机构正常运转的日常支出9</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872</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886.29元。其中：基本工资、津贴补贴等人员经费支出9</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005</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661.03元，占基本支出的91.22％；办公费、印刷费、水电费、办公设备购置等公用经费867</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225.26元，占基本支出的8.78％。</w:t>
      </w:r>
    </w:p>
    <w:p w14:paraId="46A1919A">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（二）项目支出情况</w:t>
      </w:r>
    </w:p>
    <w:p w14:paraId="49D404FC">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2025年度用于保障</w:t>
      </w:r>
      <w:r>
        <w:rPr>
          <w:rFonts w:hint="eastAsia" w:ascii="Times New Roman" w:hAnsi="Times New Roman" w:eastAsia="方正仿宋_GBK" w:cs="方正仿宋_GBK"/>
          <w:sz w:val="30"/>
          <w:szCs w:val="30"/>
          <w:highlight w:val="none"/>
          <w:lang w:val="zh-CN" w:eastAsia="zh-CN"/>
        </w:rPr>
        <w:t>中国共产党华宁县委员会办公室</w:t>
      </w:r>
      <w:r>
        <w:rPr>
          <w:rFonts w:hint="eastAsia" w:ascii="Times New Roman" w:hAnsi="Times New Roman" w:eastAsia="方正仿宋_GBK" w:cs="方正仿宋_GBK"/>
          <w:sz w:val="30"/>
          <w:szCs w:val="30"/>
          <w:highlight w:val="none"/>
          <w:lang w:val="en-US" w:eastAsia="zh-CN"/>
        </w:rPr>
        <w:t>机关、下属事业单位等机构为完成特定的行政工作任务或事业发展目标，用于专项业务工作的经费支出</w:t>
      </w:r>
      <w:r>
        <w:rPr>
          <w:rFonts w:hint="eastAsia" w:ascii="Times New Roman" w:hAnsi="Times New Roman" w:eastAsia="方正仿宋_GBK" w:cs="方正仿宋_GBK"/>
          <w:sz w:val="30"/>
          <w:szCs w:val="30"/>
          <w:highlight w:val="none"/>
          <w:lang w:val="zh-CN" w:eastAsia="zh-CN"/>
        </w:rPr>
        <w:t>2</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743</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033.88</w:t>
      </w:r>
      <w:r>
        <w:rPr>
          <w:rFonts w:hint="eastAsia" w:ascii="Times New Roman" w:hAnsi="Times New Roman" w:eastAsia="方正仿宋_GBK" w:cs="方正仿宋_GBK"/>
          <w:sz w:val="30"/>
          <w:szCs w:val="30"/>
          <w:highlight w:val="none"/>
          <w:lang w:val="en-US" w:eastAsia="zh-CN"/>
        </w:rPr>
        <w:t>元。其中：基本建设类项目支出</w:t>
      </w:r>
      <w:r>
        <w:rPr>
          <w:rFonts w:hint="eastAsia" w:ascii="Times New Roman" w:hAnsi="Times New Roman" w:eastAsia="方正仿宋_GBK" w:cs="方正仿宋_GBK"/>
          <w:sz w:val="30"/>
          <w:szCs w:val="30"/>
          <w:highlight w:val="none"/>
          <w:lang w:val="zh-CN" w:eastAsia="zh-CN"/>
        </w:rPr>
        <w:t>1</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590</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600.00</w:t>
      </w:r>
      <w:r>
        <w:rPr>
          <w:rFonts w:hint="eastAsia" w:ascii="Times New Roman" w:hAnsi="Times New Roman" w:eastAsia="方正仿宋_GBK" w:cs="方正仿宋_GBK"/>
          <w:sz w:val="30"/>
          <w:szCs w:val="30"/>
          <w:highlight w:val="none"/>
          <w:lang w:val="en-US" w:eastAsia="zh-CN"/>
        </w:rPr>
        <w:t>元。</w:t>
      </w:r>
    </w:p>
    <w:p w14:paraId="1FB74DDF">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1.中共华宁县委办公室业务经费项目523,446.61元，主要用于保障我办会议活动、政策研究、督查督办、行政后勤、档案管理等事务支出。</w:t>
      </w:r>
    </w:p>
    <w:p w14:paraId="4EA1EA9F">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2.郭家营社区乡村振兴工作经费项目50,000.00元，主要用于解决郭家营社区乡村振兴工作经费不足问题。</w:t>
      </w:r>
    </w:p>
    <w:p w14:paraId="4EE482A0">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eastAsia="方正仿宋_GBK" w:cs="方正仿宋_GBK"/>
          <w:sz w:val="30"/>
          <w:szCs w:val="30"/>
          <w:highlight w:val="none"/>
          <w:lang w:val="en-US" w:eastAsia="zh-CN"/>
        </w:rPr>
        <w:t>3</w:t>
      </w:r>
      <w:r>
        <w:rPr>
          <w:rFonts w:hint="eastAsia" w:ascii="Times New Roman" w:hAnsi="Times New Roman" w:eastAsia="方正仿宋_GBK" w:cs="方正仿宋_GBK"/>
          <w:sz w:val="30"/>
          <w:szCs w:val="30"/>
          <w:highlight w:val="none"/>
          <w:lang w:val="en-US" w:eastAsia="zh-CN"/>
        </w:rPr>
        <w:t>.办公设备购置经费项目23,350.00元，主要用于办公室办公设备购置。</w:t>
      </w:r>
    </w:p>
    <w:p w14:paraId="07E8A232">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eastAsia="方正仿宋_GBK" w:cs="方正仿宋_GBK"/>
          <w:sz w:val="30"/>
          <w:szCs w:val="30"/>
          <w:highlight w:val="none"/>
          <w:lang w:val="en-US" w:eastAsia="zh-CN"/>
        </w:rPr>
        <w:t>4</w:t>
      </w:r>
      <w:r>
        <w:rPr>
          <w:rFonts w:hint="eastAsia" w:ascii="Times New Roman" w:hAnsi="Times New Roman" w:eastAsia="方正仿宋_GBK" w:cs="方正仿宋_GBK"/>
          <w:sz w:val="30"/>
          <w:szCs w:val="30"/>
          <w:highlight w:val="none"/>
          <w:lang w:val="en-US" w:eastAsia="zh-CN"/>
        </w:rPr>
        <w:t>.会议费资金项目经费13,332.00元，主要用于会议场地服务费、会议餐费等支出。</w:t>
      </w:r>
    </w:p>
    <w:p w14:paraId="49363411">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eastAsia="方正仿宋_GBK" w:cs="方正仿宋_GBK"/>
          <w:sz w:val="30"/>
          <w:szCs w:val="30"/>
          <w:highlight w:val="none"/>
          <w:lang w:val="en-US" w:eastAsia="zh-CN"/>
        </w:rPr>
        <w:t>5</w:t>
      </w:r>
      <w:r>
        <w:rPr>
          <w:rFonts w:hint="eastAsia" w:ascii="Times New Roman" w:hAnsi="Times New Roman" w:eastAsia="方正仿宋_GBK" w:cs="方正仿宋_GBK"/>
          <w:sz w:val="30"/>
          <w:szCs w:val="30"/>
          <w:highlight w:val="none"/>
          <w:lang w:val="en-US" w:eastAsia="zh-CN"/>
        </w:rPr>
        <w:t>.机关事业单位职工遗属生活补助经费项目2,079.00元，主要用于支付机关事业单位人员死亡遗属生活困难补助。</w:t>
      </w:r>
    </w:p>
    <w:p w14:paraId="51D881EB">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sz w:val="30"/>
          <w:szCs w:val="30"/>
          <w:highlight w:val="none"/>
          <w:lang w:val="en-US" w:eastAsia="zh-CN"/>
        </w:rPr>
      </w:pPr>
      <w:r>
        <w:rPr>
          <w:rFonts w:hint="eastAsia" w:eastAsia="方正仿宋_GBK" w:cs="方正仿宋_GBK"/>
          <w:sz w:val="30"/>
          <w:szCs w:val="30"/>
          <w:highlight w:val="none"/>
          <w:lang w:val="en-US" w:eastAsia="zh-CN"/>
        </w:rPr>
        <w:t>6</w:t>
      </w:r>
      <w:r>
        <w:rPr>
          <w:rFonts w:hint="eastAsia" w:ascii="Times New Roman" w:hAnsi="Times New Roman" w:eastAsia="方正仿宋_GBK" w:cs="方正仿宋_GBK"/>
          <w:sz w:val="30"/>
          <w:szCs w:val="30"/>
          <w:highlight w:val="none"/>
          <w:lang w:val="en-US" w:eastAsia="zh-CN"/>
        </w:rPr>
        <w:t>.死亡抚恤经费项目221,076.80元，主要用于发放退休人员死亡抚恤金。</w:t>
      </w:r>
    </w:p>
    <w:p w14:paraId="78FBCE74">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default" w:ascii="Times New Roman" w:hAnsi="Times New Roman" w:eastAsia="方正仿宋_GBK" w:cs="方正仿宋_GBK"/>
          <w:sz w:val="30"/>
          <w:szCs w:val="30"/>
          <w:highlight w:val="none"/>
          <w:lang w:val="en-US" w:eastAsia="zh-CN"/>
        </w:rPr>
      </w:pPr>
      <w:r>
        <w:rPr>
          <w:rFonts w:hint="eastAsia" w:eastAsia="方正仿宋_GBK" w:cs="方正仿宋_GBK"/>
          <w:sz w:val="30"/>
          <w:szCs w:val="30"/>
          <w:highlight w:val="none"/>
          <w:lang w:val="en-US" w:eastAsia="zh-CN"/>
        </w:rPr>
        <w:t>7</w:t>
      </w:r>
      <w:r>
        <w:rPr>
          <w:rFonts w:hint="eastAsia" w:ascii="Times New Roman" w:hAnsi="Times New Roman" w:eastAsia="方正仿宋_GBK" w:cs="方正仿宋_GBK"/>
          <w:sz w:val="30"/>
          <w:szCs w:val="30"/>
          <w:highlight w:val="none"/>
          <w:lang w:val="en-US" w:eastAsia="zh-CN"/>
        </w:rPr>
        <w:t>.华宁县国家档案馆建设项目专项资金项目经费1,575,600.00元，主要用于档案馆建设支出。</w:t>
      </w:r>
    </w:p>
    <w:p w14:paraId="4AE1FB2C">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三、一般公共预算财政拨款支出决算情况说明</w:t>
      </w:r>
    </w:p>
    <w:p w14:paraId="67E66D1D">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（一）一般公共预算财政拨款支出决算总体情况</w:t>
      </w:r>
    </w:p>
    <w:p w14:paraId="153CC05A">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仿宋_GB2312" w:cs="Arial"/>
          <w:kern w:val="0"/>
          <w:sz w:val="30"/>
          <w:szCs w:val="30"/>
          <w:highlight w:val="none"/>
        </w:rPr>
      </w:pPr>
      <w:r>
        <w:rPr>
          <w:rFonts w:hint="eastAsia" w:ascii="Times New Roman" w:hAnsi="Times New Roman" w:eastAsia="方正仿宋_GBK" w:cs="方正仿宋_GBK"/>
          <w:sz w:val="30"/>
          <w:szCs w:val="30"/>
          <w:highlight w:val="none"/>
          <w:lang w:val="zh-CN" w:eastAsia="zh-CN"/>
        </w:rPr>
        <w:t>中国共产党华宁县委员会办公室</w:t>
      </w:r>
      <w:r>
        <w:rPr>
          <w:rFonts w:hint="eastAsia" w:ascii="Times New Roman" w:hAnsi="Times New Roman" w:eastAsia="方正仿宋_GBK" w:cs="方正仿宋_GBK"/>
          <w:sz w:val="30"/>
          <w:szCs w:val="30"/>
          <w:highlight w:val="none"/>
          <w:lang w:val="en-US" w:eastAsia="zh-CN"/>
        </w:rPr>
        <w:t>2025年度一般公共预算财政拨款支出</w:t>
      </w:r>
      <w:r>
        <w:rPr>
          <w:rFonts w:hint="eastAsia" w:ascii="Times New Roman" w:hAnsi="Times New Roman" w:eastAsia="方正仿宋_GBK" w:cs="方正仿宋_GBK"/>
          <w:sz w:val="30"/>
          <w:szCs w:val="30"/>
          <w:highlight w:val="none"/>
          <w:lang w:val="zh-CN" w:eastAsia="zh-CN"/>
        </w:rPr>
        <w:t>12</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525</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410.54</w:t>
      </w:r>
      <w:r>
        <w:rPr>
          <w:rFonts w:hint="eastAsia" w:ascii="Times New Roman" w:hAnsi="Times New Roman" w:eastAsia="方正仿宋_GBK" w:cs="方正仿宋_GBK"/>
          <w:sz w:val="30"/>
          <w:szCs w:val="30"/>
          <w:highlight w:val="none"/>
          <w:lang w:val="en-US" w:eastAsia="zh-CN"/>
        </w:rPr>
        <w:t>元,占本年支出合计的</w:t>
      </w:r>
      <w:r>
        <w:rPr>
          <w:rFonts w:hint="eastAsia" w:ascii="Times New Roman" w:hAnsi="Times New Roman" w:eastAsia="方正仿宋_GBK" w:cs="方正仿宋_GBK"/>
          <w:sz w:val="30"/>
          <w:szCs w:val="30"/>
          <w:highlight w:val="none"/>
          <w:lang w:val="zh-CN" w:eastAsia="zh-CN"/>
        </w:rPr>
        <w:t>99.28</w:t>
      </w:r>
      <w:r>
        <w:rPr>
          <w:rFonts w:hint="eastAsia" w:ascii="Times New Roman" w:hAnsi="Times New Roman" w:eastAsia="方正仿宋_GBK" w:cs="方正仿宋_GBK"/>
          <w:sz w:val="30"/>
          <w:szCs w:val="30"/>
          <w:highlight w:val="none"/>
          <w:lang w:val="en-US" w:eastAsia="zh-CN"/>
        </w:rPr>
        <w:t>%。与上年相比增加</w:t>
      </w:r>
      <w:r>
        <w:rPr>
          <w:rFonts w:hint="eastAsia" w:ascii="Times New Roman" w:hAnsi="Times New Roman" w:eastAsia="方正仿宋_GBK" w:cs="方正仿宋_GBK"/>
          <w:sz w:val="30"/>
          <w:szCs w:val="30"/>
          <w:highlight w:val="none"/>
          <w:lang w:val="zh-CN" w:eastAsia="zh-CN"/>
        </w:rPr>
        <w:t>3</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497</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841.01</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38.75</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113.86</w:t>
      </w:r>
      <w:r>
        <w:rPr>
          <w:rFonts w:hint="eastAsia" w:ascii="Times New Roman" w:hAnsi="Times New Roman" w:eastAsia="方正仿宋_GBK" w:cs="方正仿宋_GBK"/>
          <w:sz w:val="30"/>
          <w:szCs w:val="30"/>
          <w:highlight w:val="none"/>
          <w:lang w:val="en-US" w:eastAsia="zh-CN"/>
        </w:rPr>
        <w:t>%。</w:t>
      </w:r>
    </w:p>
    <w:p w14:paraId="568590FE">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（二）一般公共预算财政拨款支出决算分功能分类科目情况</w:t>
      </w:r>
      <w:r>
        <w:rPr>
          <w:rFonts w:hint="eastAsia" w:ascii="Times New Roman" w:hAnsi="Times New Roman" w:eastAsia="方正楷体_GBK" w:cs="方正楷体_GBK"/>
          <w:sz w:val="30"/>
          <w:szCs w:val="30"/>
          <w:highlight w:val="none"/>
          <w:lang w:val="en-US" w:eastAsia="zh-CN"/>
        </w:rPr>
        <w:tab/>
      </w:r>
    </w:p>
    <w:p w14:paraId="1FCC7D65">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1.一般公共服务（类）支出9</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877</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173.13元，占一般公共预算财政拨款总支出的78.86%,完成年初预算的120.11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。主要用于工资福利性支出和正常开展业务发生的办公费、水电费、会议费、培训费、劳务费等日常开支；造成预决算差异的主要原因</w:t>
      </w:r>
      <w:r>
        <w:rPr>
          <w:rFonts w:hint="eastAsia" w:ascii="Times New Roman" w:hAnsi="Times New Roman" w:eastAsia="方正仿宋_GBK" w:cs="方正仿宋_GBK"/>
          <w:sz w:val="30"/>
          <w:szCs w:val="30"/>
          <w:highlight w:val="none"/>
          <w:lang w:val="en-US" w:eastAsia="zh-CN"/>
        </w:rPr>
        <w:t>一是本年度人员工资及社会保障缴费基数政策性调整，人员经费增加；二是根据年度重点工作需要，档案馆建设项目资金支出增加</w:t>
      </w:r>
      <w:r>
        <w:rPr>
          <w:rFonts w:hint="eastAsia" w:ascii="Times New Roman" w:hAnsi="Times New Roman" w:eastAsia="方正仿宋_GBK" w:cs="方正仿宋_GBK"/>
          <w:sz w:val="30"/>
          <w:szCs w:val="30"/>
          <w:highlight w:val="none"/>
          <w:lang w:val="zh-CN" w:eastAsia="zh-CN"/>
        </w:rPr>
        <w:t>。</w:t>
      </w:r>
    </w:p>
    <w:p w14:paraId="01137C44">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2.外交（类）支出0.00元，占一般公共预算财政拨款总支出的0.00%,年初无此项预算。</w:t>
      </w:r>
    </w:p>
    <w:p w14:paraId="583EDD7E">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3.国防（类）支出0.00元，占一般公共预算财政拨款总支出的0.00%,</w:t>
      </w:r>
      <w:r>
        <w:rPr>
          <w:rFonts w:hint="default" w:ascii="Times New Roman" w:hAnsi="Times New Roman" w:eastAsia="方正仿宋_GBK" w:cs="方正仿宋_GBK"/>
          <w:sz w:val="30"/>
          <w:szCs w:val="30"/>
          <w:highlight w:val="none"/>
          <w:lang w:val="zh-CN" w:eastAsia="zh-CN"/>
        </w:rPr>
        <w:t>年初无此项预算</w:t>
      </w:r>
      <w:r>
        <w:rPr>
          <w:rFonts w:hint="eastAsia" w:ascii="Times New Roman" w:hAnsi="Times New Roman" w:eastAsia="方正仿宋_GBK" w:cs="方正仿宋_GBK"/>
          <w:sz w:val="30"/>
          <w:szCs w:val="30"/>
          <w:highlight w:val="none"/>
          <w:lang w:val="zh-CN" w:eastAsia="zh-CN"/>
        </w:rPr>
        <w:t>。</w:t>
      </w:r>
    </w:p>
    <w:p w14:paraId="01089324">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4.公共安全（类）支出0.00元，占一般公共预算财政拨款总支出的0.00%,年初无此项预算。</w:t>
      </w:r>
    </w:p>
    <w:p w14:paraId="7200B0B1">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5.教育（类）支出0.00元，占一般公共预算财政拨款总支出的0.00%</w:t>
      </w:r>
      <w:r>
        <w:rPr>
          <w:rFonts w:hint="eastAsia" w:ascii="Times New Roman" w:hAnsi="Times New Roman" w:eastAsia="方正仿宋_GBK" w:cs="方正仿宋_GBK"/>
          <w:sz w:val="30"/>
          <w:szCs w:val="30"/>
          <w:highlight w:val="none"/>
          <w:lang w:val="zh-CN" w:eastAsia="zh-CN"/>
        </w:rPr>
        <w:t>,年初无此项预算。</w:t>
      </w:r>
    </w:p>
    <w:p w14:paraId="7A3E0049">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6.科学技术（类）支出0.00元，占一般公共预算财政拨款总支出的0.00%</w:t>
      </w:r>
      <w:r>
        <w:rPr>
          <w:rFonts w:hint="eastAsia" w:ascii="Times New Roman" w:hAnsi="Times New Roman" w:eastAsia="方正仿宋_GBK" w:cs="方正仿宋_GBK"/>
          <w:sz w:val="30"/>
          <w:szCs w:val="30"/>
          <w:highlight w:val="none"/>
          <w:lang w:val="zh-CN" w:eastAsia="zh-CN"/>
        </w:rPr>
        <w:t>,年初无此项预算。</w:t>
      </w:r>
    </w:p>
    <w:p w14:paraId="53B4982B">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7.文化旅游体育与传媒（类）支出0.00元，占一般公共预算财政拨款总支出的0.00%</w:t>
      </w:r>
      <w:r>
        <w:rPr>
          <w:rFonts w:hint="eastAsia" w:ascii="Times New Roman" w:hAnsi="Times New Roman" w:eastAsia="方正仿宋_GBK" w:cs="方正仿宋_GBK"/>
          <w:sz w:val="30"/>
          <w:szCs w:val="30"/>
          <w:highlight w:val="none"/>
          <w:lang w:val="zh-CN" w:eastAsia="zh-CN"/>
        </w:rPr>
        <w:t>,年初无此项预算。</w:t>
      </w:r>
    </w:p>
    <w:p w14:paraId="18132152">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8.社会保障和就业（类）支出1</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217</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709.01元，占一般公共预算财政拨款总支出的9.72%</w:t>
      </w:r>
      <w:r>
        <w:rPr>
          <w:rFonts w:hint="eastAsia" w:ascii="Times New Roman" w:hAnsi="Times New Roman" w:eastAsia="方正仿宋_GBK" w:cs="方正仿宋_GBK"/>
          <w:sz w:val="30"/>
          <w:szCs w:val="30"/>
          <w:highlight w:val="none"/>
          <w:lang w:val="zh-CN" w:eastAsia="zh-CN"/>
        </w:rPr>
        <w:t>,完成年初预算的91.77</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。主要用于本部门职工的养老保险及其他社会保障缴费，支付退休人员死亡抚恤金等；造成预决算差异的主要原因是单位部分保险未及时按月缴纳。</w:t>
      </w:r>
    </w:p>
    <w:p w14:paraId="55B24190">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9.卫生健康（类）支出</w:t>
      </w:r>
      <w:r>
        <w:rPr>
          <w:rFonts w:hint="eastAsia" w:ascii="Times New Roman" w:hAnsi="Times New Roman" w:eastAsia="方正仿宋_GBK" w:cs="方正仿宋_GBK"/>
          <w:sz w:val="30"/>
          <w:szCs w:val="30"/>
          <w:highlight w:val="none"/>
          <w:lang w:val="zh-CN" w:eastAsia="zh-CN"/>
        </w:rPr>
        <w:t>769</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608.40元，占一般公共预算财政拨款总支出的6.14%,完成年初预算的101.37</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。主要用于本部门职工的医疗补助支出；造成预决算差异的主要原因是</w:t>
      </w:r>
      <w:r>
        <w:rPr>
          <w:rFonts w:hint="eastAsia" w:ascii="Times New Roman" w:hAnsi="Times New Roman" w:eastAsia="方正仿宋_GBK" w:cs="方正仿宋_GBK"/>
          <w:sz w:val="30"/>
          <w:szCs w:val="30"/>
          <w:highlight w:val="none"/>
          <w:lang w:val="en-US" w:eastAsia="zh-CN"/>
        </w:rPr>
        <w:t>本年度支付了上一年度未缴纳的单位部分医疗保险等</w:t>
      </w:r>
      <w:r>
        <w:rPr>
          <w:rFonts w:hint="eastAsia" w:ascii="Times New Roman" w:hAnsi="Times New Roman" w:eastAsia="方正仿宋_GBK" w:cs="方正仿宋_GBK"/>
          <w:sz w:val="30"/>
          <w:szCs w:val="30"/>
          <w:highlight w:val="none"/>
          <w:lang w:val="zh-CN" w:eastAsia="zh-CN"/>
        </w:rPr>
        <w:t>。</w:t>
      </w:r>
    </w:p>
    <w:p w14:paraId="47237EAC">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10.节能环保（类）支出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55E5CF09">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11.城乡社区（类）支出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4E3BA276">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12.农林水（类）支出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4016207F">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13.交通运输（类）支出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5F1A1199">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14.资源勘探工业信息等（类）支出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0D079633">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15.商业服务业等（类）支出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45A59F27">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16.金融（类）支出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59CFF0CF">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17.援助其他地区（类）支出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394B738D">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18.自然资源海洋气象等（类）支出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7163B93B">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19.住房保障（类）支出</w:t>
      </w:r>
      <w:r>
        <w:rPr>
          <w:rFonts w:hint="eastAsia" w:ascii="Times New Roman" w:hAnsi="Times New Roman" w:eastAsia="方正仿宋_GBK" w:cs="方正仿宋_GBK"/>
          <w:sz w:val="30"/>
          <w:szCs w:val="30"/>
          <w:highlight w:val="none"/>
          <w:lang w:val="zh-CN" w:eastAsia="zh-CN"/>
        </w:rPr>
        <w:t>660</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920.00元，占一般公共预算财政拨款总支出的5.28%,完成年初预算的95.69</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。主要用于本单位职工的</w:t>
      </w:r>
      <w:r>
        <w:rPr>
          <w:rFonts w:hint="eastAsia" w:ascii="Times New Roman" w:hAnsi="Times New Roman" w:eastAsia="仿宋_GB2312" w:cs="Arial"/>
          <w:kern w:val="0"/>
          <w:sz w:val="30"/>
          <w:szCs w:val="30"/>
          <w:highlight w:val="none"/>
        </w:rPr>
        <w:t>住</w:t>
      </w:r>
      <w:r>
        <w:rPr>
          <w:rFonts w:hint="eastAsia" w:ascii="Times New Roman" w:hAnsi="Times New Roman" w:eastAsia="方正仿宋_GBK" w:cs="方正仿宋_GBK"/>
          <w:sz w:val="30"/>
          <w:szCs w:val="30"/>
          <w:highlight w:val="none"/>
          <w:lang w:val="zh-CN" w:eastAsia="zh-CN"/>
        </w:rPr>
        <w:t>房公积金补助支出；造成预决算差异的主要原因是单位部分住房公积金未及时按月缴纳。</w:t>
      </w:r>
    </w:p>
    <w:p w14:paraId="12A1ABD8">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20.粮油物资储备（类）支出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7F06E201">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21.国有资本经营预算（类）支出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46D9BAF8">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22.灾害防治及应急管理（类）支出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598670EF">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23.其他（类）支出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17A623F1">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24.债务还本（类）支出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78CD17B1">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25.债务付息（类）支出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5B56E7CA">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26.抗疫特别国债安排（类）支出</w:t>
      </w:r>
      <w:r>
        <w:rPr>
          <w:rFonts w:hint="eastAsia" w:ascii="Times New Roman" w:hAnsi="Times New Roman" w:eastAsia="方正仿宋_GBK" w:cs="方正仿宋_GBK"/>
          <w:sz w:val="30"/>
          <w:szCs w:val="30"/>
          <w:highlight w:val="none"/>
          <w:lang w:val="zh-CN" w:eastAsia="zh-CN"/>
        </w:rPr>
        <w:t>0.00元，占一般公共预算财政拨款总支出的0.00%,年初无此项预算。</w:t>
      </w:r>
    </w:p>
    <w:p w14:paraId="6E8F94BB">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四、财政拨款“三公”经费支出决算情况说明</w:t>
      </w:r>
    </w:p>
    <w:p w14:paraId="6EA77DA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_GB2312" w:cs="楷体_GB2312"/>
          <w:kern w:val="0"/>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（一）总体情况</w:t>
      </w:r>
    </w:p>
    <w:p w14:paraId="1EB3BBCD">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lang w:val="zh-CN" w:eastAsia="zh-CN"/>
        </w:rPr>
        <w:t>财政拨款“三公”经费支出决算中，财政拨款“三公”经费支出年初预算为</w:t>
      </w:r>
      <w:r>
        <w:rPr>
          <w:rFonts w:hint="eastAsia" w:ascii="Times New Roman" w:hAnsi="Times New Roman" w:eastAsia="方正仿宋_GBK" w:cs="方正仿宋_GBK"/>
          <w:sz w:val="30"/>
          <w:szCs w:val="30"/>
          <w:highlight w:val="none"/>
          <w:lang w:val="en-US" w:eastAsia="zh-CN"/>
        </w:rPr>
        <w:t>66</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000.00</w:t>
      </w:r>
      <w:r>
        <w:rPr>
          <w:rFonts w:hint="eastAsia" w:ascii="Times New Roman" w:hAnsi="Times New Roman" w:eastAsia="方正仿宋_GBK" w:cs="方正仿宋_GBK"/>
          <w:sz w:val="30"/>
          <w:szCs w:val="30"/>
          <w:highlight w:val="none"/>
          <w:lang w:val="zh-CN" w:eastAsia="zh-CN"/>
        </w:rPr>
        <w:t>元，决算为61</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744.50元，完成年初预算的93.55%；支出决算较上年增加5</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364.55</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9.51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w:t>
      </w:r>
    </w:p>
    <w:p w14:paraId="2902756E">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因公出国（境）费用支出年初预算为0.00元，决算为0.00元，占财政拨款“三公”经费总支出决算的0.00%；公务用车购置费支出年初预算为0.00元，决算为0.00元，占财政拨款“三公”经费总支出决算的0.00%；公务用车运行维护费支出年初预算为36</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000.00元，决算为36</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000.00元，占财政拨款“三公”经费总支出决算的58.30%，完成年初预算的100.00</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公务接待费支出年初预算为30</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000.00元，决算为25</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744.50元，占财政拨款“三公”经费总支出决算的41.70%，完成年初预算的85.82</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w:t>
      </w:r>
    </w:p>
    <w:p w14:paraId="0A2B278E">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因公出国（境）费用支出决算较上年增加0.00</w:t>
      </w:r>
      <w:r>
        <w:rPr>
          <w:rFonts w:hint="eastAsia" w:ascii="Times New Roman" w:hAnsi="Times New Roman" w:eastAsia="方正仿宋_GBK" w:cs="方正仿宋_GBK"/>
          <w:sz w:val="30"/>
          <w:szCs w:val="30"/>
          <w:highlight w:val="none"/>
          <w:lang w:val="en-US" w:eastAsia="zh-CN"/>
        </w:rPr>
        <w:t>元，</w:t>
      </w:r>
      <w:r>
        <w:rPr>
          <w:rFonts w:hint="eastAsia" w:ascii="Times New Roman" w:hAnsi="Times New Roman" w:eastAsia="方正仿宋_GBK" w:cs="方正仿宋_GBK"/>
          <w:sz w:val="30"/>
          <w:szCs w:val="30"/>
          <w:highlight w:val="none"/>
          <w:lang w:val="zh-CN" w:eastAsia="zh-CN"/>
        </w:rPr>
        <w:t>上年无此项支出；公务用车购置费支出决算较上年增加0.00</w:t>
      </w:r>
      <w:r>
        <w:rPr>
          <w:rFonts w:hint="eastAsia" w:ascii="Times New Roman" w:hAnsi="Times New Roman" w:eastAsia="方正仿宋_GBK" w:cs="方正仿宋_GBK"/>
          <w:sz w:val="30"/>
          <w:szCs w:val="30"/>
          <w:highlight w:val="none"/>
          <w:lang w:val="en-US" w:eastAsia="zh-CN"/>
        </w:rPr>
        <w:t>元，</w:t>
      </w:r>
      <w:r>
        <w:rPr>
          <w:rFonts w:hint="eastAsia" w:ascii="Times New Roman" w:hAnsi="Times New Roman" w:eastAsia="方正仿宋_GBK" w:cs="方正仿宋_GBK"/>
          <w:sz w:val="30"/>
          <w:szCs w:val="30"/>
          <w:highlight w:val="none"/>
          <w:lang w:val="zh-CN" w:eastAsia="zh-CN"/>
        </w:rPr>
        <w:t>上年无此项支出；公务用车运行维护费支出决算较上年增加0.00</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；公务接待费支出决算较上年增加5364.55</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26.32</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；具体是国内接待费支出决算25744.50元（其中：外事接待费支出决算0.00元），较上年增加5364.55</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26.32</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；国（境）外接待费支出决算0.00元，较上年增加0.00</w:t>
      </w:r>
      <w:r>
        <w:rPr>
          <w:rFonts w:hint="eastAsia" w:ascii="Times New Roman" w:hAnsi="Times New Roman" w:eastAsia="方正仿宋_GBK" w:cs="方正仿宋_GBK"/>
          <w:sz w:val="30"/>
          <w:szCs w:val="30"/>
          <w:highlight w:val="none"/>
          <w:lang w:val="en-US" w:eastAsia="zh-CN"/>
        </w:rPr>
        <w:t>元，</w:t>
      </w:r>
      <w:r>
        <w:rPr>
          <w:rFonts w:hint="eastAsia" w:ascii="Times New Roman" w:hAnsi="Times New Roman" w:eastAsia="方正仿宋_GBK" w:cs="方正仿宋_GBK"/>
          <w:sz w:val="30"/>
          <w:szCs w:val="30"/>
          <w:highlight w:val="none"/>
          <w:lang w:val="zh-CN" w:eastAsia="zh-CN"/>
        </w:rPr>
        <w:t>上年无此项支出。</w:t>
      </w:r>
    </w:p>
    <w:p w14:paraId="7708411D">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（二）一般公共预算财政拨款“三公”经费支出决算情况说明</w:t>
      </w:r>
    </w:p>
    <w:p w14:paraId="34ACAFC7">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lang w:val="zh-CN" w:eastAsia="zh-CN"/>
        </w:rPr>
        <w:t>一般公共预算财政拨款“三公”经费支出年初预算为66</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000.00元，支出决算为61</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744.50元，完成年初预算的93.55%，支出决算较上年增加5</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364.55</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9.51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w:t>
      </w:r>
    </w:p>
    <w:p w14:paraId="6FA692EF">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zh-CN" w:eastAsia="zh-CN"/>
        </w:rPr>
        <w:t>一般公共预算财政拨款“三公”经费支出中：因公出国（境）</w:t>
      </w:r>
      <w:r>
        <w:rPr>
          <w:rFonts w:hint="eastAsia" w:ascii="Times New Roman" w:hAnsi="Times New Roman" w:eastAsia="方正仿宋_GBK" w:cs="方正仿宋_GBK"/>
          <w:sz w:val="30"/>
          <w:szCs w:val="30"/>
          <w:highlight w:val="none"/>
          <w:lang w:val="en-US" w:eastAsia="zh-CN"/>
        </w:rPr>
        <w:t>费用支出年初预算为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元；公务用车购置费支出年初预算为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元；公务用车运行维护费支出年初预算为</w:t>
      </w:r>
      <w:r>
        <w:rPr>
          <w:rFonts w:hint="eastAsia" w:ascii="Times New Roman" w:hAnsi="Times New Roman" w:eastAsia="方正仿宋_GBK" w:cs="方正仿宋_GBK"/>
          <w:sz w:val="30"/>
          <w:szCs w:val="30"/>
          <w:highlight w:val="none"/>
          <w:lang w:val="zh-CN" w:eastAsia="zh-CN"/>
        </w:rPr>
        <w:t>36</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000.00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36</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000.00</w:t>
      </w:r>
      <w:r>
        <w:rPr>
          <w:rFonts w:hint="eastAsia" w:ascii="Times New Roman" w:hAnsi="Times New Roman" w:eastAsia="方正仿宋_GBK" w:cs="方正仿宋_GBK"/>
          <w:sz w:val="30"/>
          <w:szCs w:val="30"/>
          <w:highlight w:val="none"/>
          <w:lang w:val="en-US" w:eastAsia="zh-CN"/>
        </w:rPr>
        <w:t>元，完成年初预算的</w:t>
      </w:r>
      <w:r>
        <w:rPr>
          <w:rFonts w:hint="eastAsia" w:ascii="Times New Roman" w:hAnsi="Times New Roman" w:eastAsia="方正仿宋_GBK" w:cs="方正仿宋_GBK"/>
          <w:sz w:val="30"/>
          <w:szCs w:val="30"/>
          <w:highlight w:val="none"/>
          <w:lang w:val="zh-CN" w:eastAsia="zh-CN"/>
        </w:rPr>
        <w:t>100.00</w:t>
      </w:r>
      <w:r>
        <w:rPr>
          <w:rFonts w:hint="eastAsia" w:ascii="Times New Roman" w:hAnsi="Times New Roman" w:eastAsia="方正仿宋_GBK" w:cs="方正仿宋_GBK"/>
          <w:sz w:val="30"/>
          <w:szCs w:val="30"/>
          <w:highlight w:val="none"/>
          <w:lang w:val="en-US" w:eastAsia="zh-CN"/>
        </w:rPr>
        <w:t>%；公务接待费支出年初预算为</w:t>
      </w:r>
      <w:r>
        <w:rPr>
          <w:rFonts w:hint="eastAsia" w:ascii="Times New Roman" w:hAnsi="Times New Roman" w:eastAsia="方正仿宋_GBK" w:cs="方正仿宋_GBK"/>
          <w:sz w:val="30"/>
          <w:szCs w:val="30"/>
          <w:highlight w:val="none"/>
          <w:lang w:val="zh-CN" w:eastAsia="zh-CN"/>
        </w:rPr>
        <w:t>30</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000.00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25</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744.50</w:t>
      </w:r>
      <w:r>
        <w:rPr>
          <w:rFonts w:hint="eastAsia" w:ascii="Times New Roman" w:hAnsi="Times New Roman" w:eastAsia="方正仿宋_GBK" w:cs="方正仿宋_GBK"/>
          <w:sz w:val="30"/>
          <w:szCs w:val="30"/>
          <w:highlight w:val="none"/>
          <w:lang w:val="en-US" w:eastAsia="zh-CN"/>
        </w:rPr>
        <w:t>元，完成年初预算的</w:t>
      </w:r>
      <w:r>
        <w:rPr>
          <w:rFonts w:hint="eastAsia" w:ascii="Times New Roman" w:hAnsi="Times New Roman" w:eastAsia="方正仿宋_GBK" w:cs="方正仿宋_GBK"/>
          <w:sz w:val="30"/>
          <w:szCs w:val="30"/>
          <w:highlight w:val="none"/>
          <w:lang w:val="zh-CN" w:eastAsia="zh-CN"/>
        </w:rPr>
        <w:t>85.82</w:t>
      </w:r>
      <w:r>
        <w:rPr>
          <w:rFonts w:hint="eastAsia" w:ascii="Times New Roman" w:hAnsi="Times New Roman" w:eastAsia="方正仿宋_GBK" w:cs="方正仿宋_GBK"/>
          <w:sz w:val="30"/>
          <w:szCs w:val="30"/>
          <w:highlight w:val="none"/>
          <w:lang w:val="en-US" w:eastAsia="zh-CN"/>
        </w:rPr>
        <w:t>%。2025年度一般公共预算财政拨款“三公”经费支出决算数小于年初预算数的主要原因是厉行勤俭节约，减少“三公”经费的支出。</w:t>
      </w:r>
    </w:p>
    <w:p w14:paraId="70761C1E">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一般公共预算财政拨款“三公”经费支出中：因公出国（境）费用支出决算增加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元，上年无此项支出；公务用车购置费支出决算增加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元，上年无此项支出；公务用车运行维护费支出决算增加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%；公务接待费支出决算增加</w:t>
      </w:r>
      <w:r>
        <w:rPr>
          <w:rFonts w:hint="eastAsia" w:ascii="Times New Roman" w:hAnsi="Times New Roman" w:eastAsia="方正仿宋_GBK" w:cs="方正仿宋_GBK"/>
          <w:sz w:val="30"/>
          <w:szCs w:val="30"/>
          <w:highlight w:val="none"/>
          <w:lang w:val="zh-CN" w:eastAsia="zh-CN"/>
        </w:rPr>
        <w:t>5</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364.55</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26.32</w:t>
      </w:r>
      <w:r>
        <w:rPr>
          <w:rFonts w:hint="eastAsia" w:ascii="Times New Roman" w:hAnsi="Times New Roman" w:eastAsia="方正仿宋_GBK" w:cs="方正仿宋_GBK"/>
          <w:sz w:val="30"/>
          <w:szCs w:val="30"/>
          <w:highlight w:val="none"/>
          <w:lang w:val="en-US" w:eastAsia="zh-CN"/>
        </w:rPr>
        <w:t>%，具体是国内接待费支出决算</w:t>
      </w:r>
      <w:r>
        <w:rPr>
          <w:rFonts w:hint="eastAsia" w:ascii="Times New Roman" w:hAnsi="Times New Roman" w:eastAsia="方正仿宋_GBK" w:cs="方正仿宋_GBK"/>
          <w:sz w:val="30"/>
          <w:szCs w:val="30"/>
          <w:highlight w:val="none"/>
          <w:lang w:val="zh-CN" w:eastAsia="zh-CN"/>
        </w:rPr>
        <w:t>25</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744.50</w:t>
      </w:r>
      <w:r>
        <w:rPr>
          <w:rFonts w:hint="eastAsia" w:ascii="Times New Roman" w:hAnsi="Times New Roman" w:eastAsia="方正仿宋_GBK" w:cs="方正仿宋_GBK"/>
          <w:sz w:val="30"/>
          <w:szCs w:val="30"/>
          <w:highlight w:val="none"/>
          <w:lang w:val="en-US" w:eastAsia="zh-CN"/>
        </w:rPr>
        <w:t>元（其中：外事接待费支出决算</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元），较上年增加</w:t>
      </w:r>
      <w:r>
        <w:rPr>
          <w:rFonts w:hint="eastAsia" w:ascii="Times New Roman" w:hAnsi="Times New Roman" w:eastAsia="方正仿宋_GBK" w:cs="方正仿宋_GBK"/>
          <w:sz w:val="30"/>
          <w:szCs w:val="30"/>
          <w:highlight w:val="none"/>
          <w:lang w:val="zh-CN" w:eastAsia="zh-CN"/>
        </w:rPr>
        <w:t>5364.55</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26.32</w:t>
      </w:r>
      <w:r>
        <w:rPr>
          <w:rFonts w:hint="eastAsia" w:ascii="Times New Roman" w:hAnsi="Times New Roman" w:eastAsia="方正仿宋_GBK" w:cs="方正仿宋_GBK"/>
          <w:sz w:val="30"/>
          <w:szCs w:val="30"/>
          <w:highlight w:val="none"/>
          <w:lang w:val="en-US" w:eastAsia="zh-CN"/>
        </w:rPr>
        <w:t>%；国（境）外接待费支出决算</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元，较上年增加0.00元，上年无此项支出。2025年度一般公共预算财政拨款“三公”经费支出决算增加的主要原因是本年度支付了以前年度未支付的接待费。</w:t>
      </w:r>
    </w:p>
    <w:p w14:paraId="12230D41">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一般公共预算财政拨款“三公”经费支出实物量的具体情况：</w:t>
      </w:r>
    </w:p>
    <w:p w14:paraId="73A3BDF8">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1.安排因公出国（境）团组</w:t>
      </w:r>
      <w:r>
        <w:rPr>
          <w:rFonts w:hint="eastAsia" w:ascii="Times New Roman" w:hAnsi="Times New Roman" w:eastAsia="方正仿宋_GBK" w:cs="方正仿宋_GBK"/>
          <w:sz w:val="30"/>
          <w:szCs w:val="30"/>
          <w:highlight w:val="none"/>
          <w:lang w:val="zh-CN" w:eastAsia="zh-CN"/>
        </w:rPr>
        <w:t>0</w:t>
      </w:r>
      <w:r>
        <w:rPr>
          <w:rFonts w:hint="eastAsia" w:ascii="Times New Roman" w:hAnsi="Times New Roman" w:eastAsia="方正仿宋_GBK" w:cs="方正仿宋_GBK"/>
          <w:sz w:val="30"/>
          <w:szCs w:val="30"/>
          <w:highlight w:val="none"/>
          <w:lang w:val="en-US" w:eastAsia="zh-CN"/>
        </w:rPr>
        <w:t>个，累计</w:t>
      </w:r>
      <w:r>
        <w:rPr>
          <w:rFonts w:hint="eastAsia" w:ascii="Times New Roman" w:hAnsi="Times New Roman" w:eastAsia="方正仿宋_GBK" w:cs="方正仿宋_GBK"/>
          <w:sz w:val="30"/>
          <w:szCs w:val="30"/>
          <w:highlight w:val="none"/>
          <w:lang w:val="zh-CN" w:eastAsia="zh-CN"/>
        </w:rPr>
        <w:t>0</w:t>
      </w:r>
      <w:r>
        <w:rPr>
          <w:rFonts w:hint="eastAsia" w:ascii="Times New Roman" w:hAnsi="Times New Roman" w:eastAsia="方正仿宋_GBK" w:cs="方正仿宋_GBK"/>
          <w:sz w:val="30"/>
          <w:szCs w:val="30"/>
          <w:highlight w:val="none"/>
          <w:lang w:val="en-US" w:eastAsia="zh-CN"/>
        </w:rPr>
        <w:t>人次。</w:t>
      </w:r>
    </w:p>
    <w:p w14:paraId="4A1C3D73">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2.购置车辆</w:t>
      </w:r>
      <w:r>
        <w:rPr>
          <w:rFonts w:hint="eastAsia" w:ascii="Times New Roman" w:hAnsi="Times New Roman" w:eastAsia="方正仿宋_GBK" w:cs="方正仿宋_GBK"/>
          <w:sz w:val="30"/>
          <w:szCs w:val="30"/>
          <w:highlight w:val="none"/>
          <w:lang w:val="zh-CN" w:eastAsia="zh-CN"/>
        </w:rPr>
        <w:t>0</w:t>
      </w:r>
      <w:r>
        <w:rPr>
          <w:rFonts w:hint="eastAsia" w:ascii="Times New Roman" w:hAnsi="Times New Roman" w:eastAsia="方正仿宋_GBK" w:cs="方正仿宋_GBK"/>
          <w:sz w:val="30"/>
          <w:szCs w:val="30"/>
          <w:highlight w:val="none"/>
          <w:lang w:val="en-US" w:eastAsia="zh-CN"/>
        </w:rPr>
        <w:t>辆。开支一般公共预算财政拨款的公务用车保有量为</w:t>
      </w:r>
      <w:r>
        <w:rPr>
          <w:rFonts w:hint="eastAsia" w:ascii="Times New Roman" w:hAnsi="Times New Roman" w:eastAsia="方正仿宋_GBK" w:cs="方正仿宋_GBK"/>
          <w:sz w:val="30"/>
          <w:szCs w:val="30"/>
          <w:highlight w:val="none"/>
          <w:lang w:val="zh-CN" w:eastAsia="zh-CN"/>
        </w:rPr>
        <w:t>3</w:t>
      </w:r>
      <w:r>
        <w:rPr>
          <w:rFonts w:hint="eastAsia" w:ascii="Times New Roman" w:hAnsi="Times New Roman" w:eastAsia="方正仿宋_GBK" w:cs="方正仿宋_GBK"/>
          <w:sz w:val="30"/>
          <w:szCs w:val="30"/>
          <w:highlight w:val="none"/>
          <w:lang w:val="en-US" w:eastAsia="zh-CN"/>
        </w:rPr>
        <w:t>辆。主要用于开展调研、应急保障、机要通信、督查工作等所需车辆燃料费、维修费、过路过桥费、保险费等。</w:t>
      </w:r>
    </w:p>
    <w:p w14:paraId="5AE7E0EF">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3.安排国内公务接待</w:t>
      </w:r>
      <w:r>
        <w:rPr>
          <w:rFonts w:hint="eastAsia" w:ascii="Times New Roman" w:hAnsi="Times New Roman" w:eastAsia="方正仿宋_GBK" w:cs="方正仿宋_GBK"/>
          <w:sz w:val="30"/>
          <w:szCs w:val="30"/>
          <w:highlight w:val="none"/>
          <w:lang w:val="zh-CN" w:eastAsia="zh-CN"/>
        </w:rPr>
        <w:t>38</w:t>
      </w:r>
      <w:r>
        <w:rPr>
          <w:rFonts w:hint="eastAsia" w:ascii="Times New Roman" w:hAnsi="Times New Roman" w:eastAsia="方正仿宋_GBK" w:cs="方正仿宋_GBK"/>
          <w:sz w:val="30"/>
          <w:szCs w:val="30"/>
          <w:highlight w:val="none"/>
          <w:lang w:val="en-US" w:eastAsia="zh-CN"/>
        </w:rPr>
        <w:t>批次（其中：外事接待</w:t>
      </w:r>
      <w:r>
        <w:rPr>
          <w:rFonts w:hint="eastAsia" w:ascii="Times New Roman" w:hAnsi="Times New Roman" w:eastAsia="方正仿宋_GBK" w:cs="方正仿宋_GBK"/>
          <w:sz w:val="30"/>
          <w:szCs w:val="30"/>
          <w:highlight w:val="none"/>
          <w:lang w:val="zh-CN" w:eastAsia="zh-CN"/>
        </w:rPr>
        <w:t>0</w:t>
      </w:r>
      <w:r>
        <w:rPr>
          <w:rFonts w:hint="eastAsia" w:ascii="Times New Roman" w:hAnsi="Times New Roman" w:eastAsia="方正仿宋_GBK" w:cs="方正仿宋_GBK"/>
          <w:sz w:val="30"/>
          <w:szCs w:val="30"/>
          <w:highlight w:val="none"/>
          <w:lang w:val="en-US" w:eastAsia="zh-CN"/>
        </w:rPr>
        <w:t>批次），接待人次</w:t>
      </w:r>
      <w:r>
        <w:rPr>
          <w:rFonts w:hint="eastAsia" w:ascii="Times New Roman" w:hAnsi="Times New Roman" w:eastAsia="方正仿宋_GBK" w:cs="方正仿宋_GBK"/>
          <w:sz w:val="30"/>
          <w:szCs w:val="30"/>
          <w:highlight w:val="none"/>
          <w:lang w:val="zh-CN" w:eastAsia="zh-CN"/>
        </w:rPr>
        <w:t>288</w:t>
      </w:r>
      <w:r>
        <w:rPr>
          <w:rFonts w:hint="eastAsia" w:ascii="Times New Roman" w:hAnsi="Times New Roman" w:eastAsia="方正仿宋_GBK" w:cs="方正仿宋_GBK"/>
          <w:sz w:val="30"/>
          <w:szCs w:val="30"/>
          <w:highlight w:val="none"/>
          <w:lang w:val="en-US" w:eastAsia="zh-CN"/>
        </w:rPr>
        <w:t>人（其中：外事接待人次</w:t>
      </w:r>
      <w:r>
        <w:rPr>
          <w:rFonts w:hint="eastAsia" w:ascii="Times New Roman" w:hAnsi="Times New Roman" w:eastAsia="方正仿宋_GBK" w:cs="方正仿宋_GBK"/>
          <w:sz w:val="30"/>
          <w:szCs w:val="30"/>
          <w:highlight w:val="none"/>
          <w:lang w:val="zh-CN" w:eastAsia="zh-CN"/>
        </w:rPr>
        <w:t>0</w:t>
      </w:r>
      <w:r>
        <w:rPr>
          <w:rFonts w:hint="eastAsia" w:ascii="Times New Roman" w:hAnsi="Times New Roman" w:eastAsia="方正仿宋_GBK" w:cs="方正仿宋_GBK"/>
          <w:sz w:val="30"/>
          <w:szCs w:val="30"/>
          <w:highlight w:val="none"/>
          <w:lang w:val="en-US" w:eastAsia="zh-CN"/>
        </w:rPr>
        <w:t>人）。主要用于上级督导调研、重点项目观摩等发生的接待支出。安排国（境）外公务接待</w:t>
      </w:r>
      <w:r>
        <w:rPr>
          <w:rFonts w:hint="eastAsia" w:ascii="Times New Roman" w:hAnsi="Times New Roman" w:eastAsia="方正仿宋_GBK" w:cs="方正仿宋_GBK"/>
          <w:sz w:val="30"/>
          <w:szCs w:val="30"/>
          <w:highlight w:val="none"/>
          <w:lang w:val="zh-CN" w:eastAsia="zh-CN"/>
        </w:rPr>
        <w:t>0</w:t>
      </w:r>
      <w:r>
        <w:rPr>
          <w:rFonts w:hint="eastAsia" w:ascii="Times New Roman" w:hAnsi="Times New Roman" w:eastAsia="方正仿宋_GBK" w:cs="方正仿宋_GBK"/>
          <w:sz w:val="30"/>
          <w:szCs w:val="30"/>
          <w:highlight w:val="none"/>
          <w:lang w:val="en-US" w:eastAsia="zh-CN"/>
        </w:rPr>
        <w:t>批次，接待人次</w:t>
      </w:r>
      <w:r>
        <w:rPr>
          <w:rFonts w:hint="eastAsia" w:ascii="Times New Roman" w:hAnsi="Times New Roman" w:eastAsia="方正仿宋_GBK" w:cs="方正仿宋_GBK"/>
          <w:sz w:val="30"/>
          <w:szCs w:val="30"/>
          <w:highlight w:val="none"/>
          <w:lang w:val="zh-CN" w:eastAsia="zh-CN"/>
        </w:rPr>
        <w:t>0</w:t>
      </w:r>
      <w:r>
        <w:rPr>
          <w:rFonts w:hint="eastAsia" w:ascii="Times New Roman" w:hAnsi="Times New Roman" w:eastAsia="方正仿宋_GBK" w:cs="方正仿宋_GBK"/>
          <w:sz w:val="30"/>
          <w:szCs w:val="30"/>
          <w:highlight w:val="none"/>
          <w:lang w:val="en-US" w:eastAsia="zh-CN"/>
        </w:rPr>
        <w:t>人。</w:t>
      </w:r>
    </w:p>
    <w:p w14:paraId="3731B20F">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（三）需要说明的事项</w:t>
      </w:r>
    </w:p>
    <w:p w14:paraId="7E6F2C5C">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仿宋_GB2312"/>
          <w:sz w:val="30"/>
          <w:szCs w:val="30"/>
          <w:highlight w:val="none"/>
          <w:lang w:eastAsia="zh-CN"/>
        </w:rPr>
      </w:pPr>
      <w:r>
        <w:rPr>
          <w:rFonts w:hint="eastAsia" w:ascii="Times New Roman" w:hAnsi="Times New Roman" w:eastAsia="方正仿宋_GBK" w:cs="方正仿宋_GBK"/>
          <w:sz w:val="30"/>
          <w:szCs w:val="30"/>
          <w:highlight w:val="none"/>
          <w:lang w:val="en-US" w:eastAsia="zh-CN"/>
        </w:rPr>
        <w:t>本部门不存在需要说明的事项。</w:t>
      </w:r>
    </w:p>
    <w:p w14:paraId="3AB883A1">
      <w:pPr>
        <w:keepNext w:val="0"/>
        <w:keepLines w:val="0"/>
        <w:pageBreakBefore w:val="0"/>
        <w:widowControl/>
        <w:kinsoku/>
        <w:overflowPunct/>
        <w:topLinePunct w:val="0"/>
        <w:autoSpaceDE/>
        <w:autoSpaceDN/>
        <w:bidi w:val="0"/>
        <w:snapToGrid w:val="0"/>
        <w:spacing w:before="100" w:after="100" w:line="590" w:lineRule="exact"/>
        <w:ind w:firstLine="640" w:firstLineChars="200"/>
        <w:jc w:val="center"/>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第四部分  其他重要事项及相关口径情况说明</w:t>
      </w:r>
    </w:p>
    <w:p w14:paraId="63498CD0">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一、机关运行经费支出情况</w:t>
      </w:r>
    </w:p>
    <w:p w14:paraId="44F92A66">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zh-CN" w:eastAsia="zh-CN"/>
        </w:rPr>
        <w:t>中国共产党华宁县委员会办公室</w:t>
      </w:r>
      <w:r>
        <w:rPr>
          <w:rFonts w:hint="eastAsia" w:ascii="Times New Roman" w:hAnsi="Times New Roman" w:eastAsia="方正仿宋_GBK" w:cs="方正仿宋_GBK"/>
          <w:sz w:val="30"/>
          <w:szCs w:val="30"/>
          <w:highlight w:val="none"/>
          <w:lang w:val="en-US" w:eastAsia="zh-CN"/>
        </w:rPr>
        <w:t>2025年机关运行经费支出796</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414.95元，比上年增加202</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764.12元，增长</w:t>
      </w:r>
      <w:r>
        <w:rPr>
          <w:rFonts w:hint="eastAsia" w:ascii="Times New Roman" w:hAnsi="Times New Roman" w:eastAsia="方正仿宋_GBK" w:cs="方正仿宋_GBK"/>
          <w:sz w:val="30"/>
          <w:szCs w:val="30"/>
          <w:highlight w:val="none"/>
          <w:lang w:val="zh-CN" w:eastAsia="zh-CN"/>
        </w:rPr>
        <w:t>34.16</w:t>
      </w:r>
      <w:r>
        <w:rPr>
          <w:rFonts w:hint="eastAsia" w:ascii="Times New Roman" w:hAnsi="Times New Roman" w:eastAsia="方正仿宋_GBK" w:cs="方正仿宋_GBK"/>
          <w:sz w:val="30"/>
          <w:szCs w:val="30"/>
          <w:highlight w:val="none"/>
          <w:lang w:val="en-US" w:eastAsia="zh-CN"/>
        </w:rPr>
        <w:t>%,主要原因是本年在职在编实有人数较上年度增加3人，相应的公用经费增加。部门机关运行经费主要用于正常开展工作所需办公用品购置费用、会议费、邮电费等。</w:t>
      </w:r>
    </w:p>
    <w:p w14:paraId="1C038C0C">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val="en-US" w:eastAsia="zh-CN"/>
        </w:rPr>
        <w:t>二、</w:t>
      </w:r>
      <w:r>
        <w:rPr>
          <w:rFonts w:hint="eastAsia" w:ascii="Times New Roman" w:hAnsi="Times New Roman" w:eastAsia="方正黑体_GBK" w:cs="方正黑体_GBK"/>
          <w:sz w:val="30"/>
          <w:szCs w:val="30"/>
          <w:highlight w:val="none"/>
          <w:lang w:eastAsia="zh-CN"/>
        </w:rPr>
        <w:t>国有资产占用情况</w:t>
      </w:r>
    </w:p>
    <w:p w14:paraId="0D6C29E6">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方正仿宋_GBK"/>
          <w:sz w:val="30"/>
          <w:szCs w:val="30"/>
          <w:highlight w:val="none"/>
          <w:lang w:val="zh-CN" w:eastAsia="zh-CN"/>
        </w:rPr>
      </w:pPr>
      <w:r>
        <w:rPr>
          <w:rFonts w:hint="default" w:ascii="Times New Roman" w:hAnsi="Times New Roman" w:eastAsia="方正仿宋_GBK" w:cs="方正仿宋_GBK"/>
          <w:sz w:val="30"/>
          <w:szCs w:val="30"/>
          <w:highlight w:val="none"/>
          <w:lang w:val="zh-CN" w:eastAsia="zh-CN"/>
        </w:rPr>
        <w:t>截至2025年末，中国共产党华宁县委员会办公室资产总额</w:t>
      </w:r>
      <w:r>
        <w:rPr>
          <w:rFonts w:hint="default" w:ascii="Times New Roman" w:hAnsi="Times New Roman" w:eastAsia="方正仿宋_GBK" w:cs="方正仿宋_GBK"/>
          <w:sz w:val="30"/>
          <w:szCs w:val="30"/>
          <w:highlight w:val="none"/>
          <w:lang w:val="en-US" w:eastAsia="zh-CN"/>
        </w:rPr>
        <w:t>16</w:t>
      </w:r>
      <w:r>
        <w:rPr>
          <w:rFonts w:hint="default" w:ascii="Times New Roman" w:hAnsi="Times New Roman" w:eastAsia="方正仿宋_GBK" w:cs="方正仿宋_GBK"/>
          <w:sz w:val="30"/>
          <w:szCs w:val="30"/>
          <w:highlight w:val="none"/>
          <w:lang w:val="zh-CN" w:eastAsia="zh-CN"/>
        </w:rPr>
        <w:t>,</w:t>
      </w:r>
      <w:r>
        <w:rPr>
          <w:rFonts w:hint="default" w:ascii="Times New Roman" w:hAnsi="Times New Roman" w:eastAsia="方正仿宋_GBK" w:cs="方正仿宋_GBK"/>
          <w:sz w:val="30"/>
          <w:szCs w:val="30"/>
          <w:highlight w:val="none"/>
          <w:lang w:val="en-US" w:eastAsia="zh-CN"/>
        </w:rPr>
        <w:t>361</w:t>
      </w:r>
      <w:r>
        <w:rPr>
          <w:rFonts w:hint="default" w:ascii="Times New Roman" w:hAnsi="Times New Roman" w:eastAsia="方正仿宋_GBK" w:cs="方正仿宋_GBK"/>
          <w:sz w:val="30"/>
          <w:szCs w:val="30"/>
          <w:highlight w:val="none"/>
          <w:lang w:val="zh-CN" w:eastAsia="zh-CN"/>
        </w:rPr>
        <w:t>,</w:t>
      </w:r>
      <w:r>
        <w:rPr>
          <w:rFonts w:hint="default" w:ascii="Times New Roman" w:hAnsi="Times New Roman" w:eastAsia="方正仿宋_GBK" w:cs="方正仿宋_GBK"/>
          <w:sz w:val="30"/>
          <w:szCs w:val="30"/>
          <w:highlight w:val="none"/>
          <w:lang w:val="en-US" w:eastAsia="zh-CN"/>
        </w:rPr>
        <w:t>982.5</w:t>
      </w:r>
      <w:r>
        <w:rPr>
          <w:rFonts w:hint="default" w:ascii="Times New Roman" w:hAnsi="Times New Roman" w:eastAsia="方正仿宋_GBK" w:cs="方正仿宋_GBK"/>
          <w:sz w:val="30"/>
          <w:szCs w:val="30"/>
          <w:highlight w:val="none"/>
          <w:lang w:val="zh-CN" w:eastAsia="zh-CN"/>
        </w:rPr>
        <w:t>元，其中，流动资产</w:t>
      </w:r>
      <w:r>
        <w:rPr>
          <w:rFonts w:hint="eastAsia" w:ascii="Times New Roman" w:hAnsi="Times New Roman" w:eastAsia="方正仿宋_GBK" w:cs="方正仿宋_GBK"/>
          <w:sz w:val="30"/>
          <w:szCs w:val="30"/>
          <w:highlight w:val="none"/>
          <w:lang w:val="en-US" w:eastAsia="zh-CN"/>
        </w:rPr>
        <w:t>347</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007.53</w:t>
      </w:r>
      <w:r>
        <w:rPr>
          <w:rFonts w:hint="default" w:ascii="Times New Roman" w:hAnsi="Times New Roman" w:eastAsia="方正仿宋_GBK" w:cs="方正仿宋_GBK"/>
          <w:sz w:val="30"/>
          <w:szCs w:val="30"/>
          <w:highlight w:val="none"/>
          <w:lang w:val="zh-CN" w:eastAsia="zh-CN"/>
        </w:rPr>
        <w:t>元，固定资产</w:t>
      </w:r>
      <w:r>
        <w:rPr>
          <w:rFonts w:hint="eastAsia" w:ascii="Times New Roman" w:hAnsi="Times New Roman" w:eastAsia="方正仿宋_GBK" w:cs="方正仿宋_GBK"/>
          <w:sz w:val="30"/>
          <w:szCs w:val="30"/>
          <w:highlight w:val="none"/>
          <w:lang w:val="en-US" w:eastAsia="zh-CN"/>
        </w:rPr>
        <w:t>7</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039</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117.97</w:t>
      </w:r>
      <w:r>
        <w:rPr>
          <w:rFonts w:hint="default" w:ascii="Times New Roman" w:hAnsi="Times New Roman" w:eastAsia="方正仿宋_GBK" w:cs="方正仿宋_GBK"/>
          <w:sz w:val="30"/>
          <w:szCs w:val="30"/>
          <w:highlight w:val="none"/>
          <w:lang w:val="zh-CN" w:eastAsia="zh-CN"/>
        </w:rPr>
        <w:t>元（净值），对外投资及有价证券</w:t>
      </w:r>
      <w:r>
        <w:rPr>
          <w:rFonts w:hint="eastAsia" w:ascii="Times New Roman" w:hAnsi="Times New Roman" w:eastAsia="方正仿宋_GBK" w:cs="方正仿宋_GBK"/>
          <w:sz w:val="30"/>
          <w:szCs w:val="30"/>
          <w:highlight w:val="none"/>
          <w:lang w:val="en-US" w:eastAsia="zh-CN"/>
        </w:rPr>
        <w:t>0.00</w:t>
      </w:r>
      <w:r>
        <w:rPr>
          <w:rFonts w:hint="default" w:ascii="Times New Roman" w:hAnsi="Times New Roman" w:eastAsia="方正仿宋_GBK" w:cs="方正仿宋_GBK"/>
          <w:sz w:val="30"/>
          <w:szCs w:val="30"/>
          <w:highlight w:val="none"/>
          <w:lang w:val="zh-CN" w:eastAsia="zh-CN"/>
        </w:rPr>
        <w:t>元，在建工程</w:t>
      </w:r>
      <w:r>
        <w:rPr>
          <w:rFonts w:hint="eastAsia" w:ascii="Times New Roman" w:hAnsi="Times New Roman" w:eastAsia="方正仿宋_GBK" w:cs="方正仿宋_GBK"/>
          <w:sz w:val="30"/>
          <w:szCs w:val="30"/>
          <w:highlight w:val="none"/>
          <w:lang w:val="en-US" w:eastAsia="zh-CN"/>
        </w:rPr>
        <w:t>8</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975</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857.00</w:t>
      </w:r>
      <w:r>
        <w:rPr>
          <w:rFonts w:hint="default" w:ascii="Times New Roman" w:hAnsi="Times New Roman" w:eastAsia="方正仿宋_GBK" w:cs="方正仿宋_GBK"/>
          <w:sz w:val="30"/>
          <w:szCs w:val="30"/>
          <w:highlight w:val="none"/>
          <w:lang w:val="zh-CN" w:eastAsia="zh-CN"/>
        </w:rPr>
        <w:t>元，无形资产</w:t>
      </w:r>
      <w:r>
        <w:rPr>
          <w:rFonts w:hint="eastAsia" w:ascii="Times New Roman" w:hAnsi="Times New Roman" w:eastAsia="方正仿宋_GBK" w:cs="方正仿宋_GBK"/>
          <w:sz w:val="30"/>
          <w:szCs w:val="30"/>
          <w:highlight w:val="none"/>
          <w:lang w:val="en-US" w:eastAsia="zh-CN"/>
        </w:rPr>
        <w:t>0.00</w:t>
      </w:r>
      <w:r>
        <w:rPr>
          <w:rFonts w:hint="default" w:ascii="Times New Roman" w:hAnsi="Times New Roman" w:eastAsia="方正仿宋_GBK" w:cs="方正仿宋_GBK"/>
          <w:sz w:val="30"/>
          <w:szCs w:val="30"/>
          <w:highlight w:val="none"/>
          <w:lang w:val="zh-CN" w:eastAsia="zh-CN"/>
        </w:rPr>
        <w:t>元（净值），其他资产</w:t>
      </w:r>
      <w:r>
        <w:rPr>
          <w:rFonts w:hint="eastAsia" w:ascii="Times New Roman" w:hAnsi="Times New Roman" w:eastAsia="方正仿宋_GBK" w:cs="方正仿宋_GBK"/>
          <w:sz w:val="30"/>
          <w:szCs w:val="30"/>
          <w:highlight w:val="none"/>
          <w:lang w:val="en-US" w:eastAsia="zh-CN"/>
        </w:rPr>
        <w:t>0.00</w:t>
      </w:r>
      <w:r>
        <w:rPr>
          <w:rFonts w:hint="default" w:ascii="Times New Roman" w:hAnsi="Times New Roman" w:eastAsia="方正仿宋_GBK" w:cs="方正仿宋_GBK"/>
          <w:sz w:val="30"/>
          <w:szCs w:val="30"/>
          <w:highlight w:val="none"/>
          <w:lang w:val="zh-CN" w:eastAsia="zh-CN"/>
        </w:rPr>
        <w:t>元（净值）（具体内容详见附表）。与上年相比，本年资产总额增加</w:t>
      </w:r>
      <w:r>
        <w:rPr>
          <w:rFonts w:hint="eastAsia" w:ascii="Times New Roman" w:hAnsi="Times New Roman" w:eastAsia="方正仿宋_GBK" w:cs="方正仿宋_GBK"/>
          <w:sz w:val="30"/>
          <w:szCs w:val="30"/>
          <w:highlight w:val="none"/>
          <w:lang w:val="en-US" w:eastAsia="zh-CN"/>
        </w:rPr>
        <w:t>7</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384</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753.45</w:t>
      </w:r>
      <w:r>
        <w:rPr>
          <w:rFonts w:hint="default" w:ascii="Times New Roman" w:hAnsi="Times New Roman" w:eastAsia="方正仿宋_GBK" w:cs="方正仿宋_GBK"/>
          <w:sz w:val="30"/>
          <w:szCs w:val="30"/>
          <w:highlight w:val="none"/>
          <w:lang w:val="zh-CN" w:eastAsia="zh-CN"/>
        </w:rPr>
        <w:t>元，其中固定资产增加</w:t>
      </w:r>
      <w:r>
        <w:rPr>
          <w:rFonts w:hint="eastAsia" w:ascii="Times New Roman" w:hAnsi="Times New Roman" w:eastAsia="方正仿宋_GBK" w:cs="方正仿宋_GBK"/>
          <w:sz w:val="30"/>
          <w:szCs w:val="30"/>
          <w:highlight w:val="none"/>
          <w:lang w:val="en-US" w:eastAsia="zh-CN"/>
        </w:rPr>
        <w:t>5</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840</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951.03</w:t>
      </w:r>
      <w:r>
        <w:rPr>
          <w:rFonts w:hint="default" w:ascii="Times New Roman" w:hAnsi="Times New Roman" w:eastAsia="方正仿宋_GBK" w:cs="方正仿宋_GBK"/>
          <w:sz w:val="30"/>
          <w:szCs w:val="30"/>
          <w:highlight w:val="none"/>
          <w:lang w:val="zh-CN" w:eastAsia="zh-CN"/>
        </w:rPr>
        <w:t>元。处置房屋建筑物</w:t>
      </w:r>
      <w:r>
        <w:rPr>
          <w:rFonts w:hint="eastAsia" w:ascii="Times New Roman" w:hAnsi="Times New Roman" w:eastAsia="方正仿宋_GBK" w:cs="方正仿宋_GBK"/>
          <w:sz w:val="30"/>
          <w:szCs w:val="30"/>
          <w:highlight w:val="none"/>
          <w:lang w:val="en-US" w:eastAsia="zh-CN"/>
        </w:rPr>
        <w:t>0.00</w:t>
      </w:r>
      <w:r>
        <w:rPr>
          <w:rFonts w:hint="default" w:ascii="Times New Roman" w:hAnsi="Times New Roman" w:eastAsia="方正仿宋_GBK" w:cs="方正仿宋_GBK"/>
          <w:sz w:val="30"/>
          <w:szCs w:val="30"/>
          <w:highlight w:val="none"/>
          <w:lang w:val="zh-CN" w:eastAsia="zh-CN"/>
        </w:rPr>
        <w:t>平方米，账面原值</w:t>
      </w:r>
      <w:r>
        <w:rPr>
          <w:rFonts w:hint="eastAsia" w:ascii="Times New Roman" w:hAnsi="Times New Roman" w:eastAsia="方正仿宋_GBK" w:cs="方正仿宋_GBK"/>
          <w:sz w:val="30"/>
          <w:szCs w:val="30"/>
          <w:highlight w:val="none"/>
          <w:lang w:val="en-US" w:eastAsia="zh-CN"/>
        </w:rPr>
        <w:t>0.00</w:t>
      </w:r>
      <w:r>
        <w:rPr>
          <w:rFonts w:hint="default" w:ascii="Times New Roman" w:hAnsi="Times New Roman" w:eastAsia="方正仿宋_GBK" w:cs="方正仿宋_GBK"/>
          <w:sz w:val="30"/>
          <w:szCs w:val="30"/>
          <w:highlight w:val="none"/>
          <w:lang w:val="zh-CN" w:eastAsia="zh-CN"/>
        </w:rPr>
        <w:t>元；处置车辆</w:t>
      </w:r>
      <w:r>
        <w:rPr>
          <w:rFonts w:hint="eastAsia" w:ascii="Times New Roman" w:hAnsi="Times New Roman" w:eastAsia="方正仿宋_GBK" w:cs="方正仿宋_GBK"/>
          <w:sz w:val="30"/>
          <w:szCs w:val="30"/>
          <w:highlight w:val="none"/>
          <w:lang w:val="en-US" w:eastAsia="zh-CN"/>
        </w:rPr>
        <w:t>0</w:t>
      </w:r>
      <w:r>
        <w:rPr>
          <w:rFonts w:hint="default" w:ascii="Times New Roman" w:hAnsi="Times New Roman" w:eastAsia="方正仿宋_GBK" w:cs="方正仿宋_GBK"/>
          <w:sz w:val="30"/>
          <w:szCs w:val="30"/>
          <w:highlight w:val="none"/>
          <w:lang w:val="zh-CN" w:eastAsia="zh-CN"/>
        </w:rPr>
        <w:t>辆，账面原值</w:t>
      </w:r>
      <w:r>
        <w:rPr>
          <w:rFonts w:hint="eastAsia" w:ascii="Times New Roman" w:hAnsi="Times New Roman" w:eastAsia="方正仿宋_GBK" w:cs="方正仿宋_GBK"/>
          <w:sz w:val="30"/>
          <w:szCs w:val="30"/>
          <w:highlight w:val="none"/>
          <w:lang w:val="en-US" w:eastAsia="zh-CN"/>
        </w:rPr>
        <w:t>0.00</w:t>
      </w:r>
      <w:r>
        <w:rPr>
          <w:rFonts w:hint="default" w:ascii="Times New Roman" w:hAnsi="Times New Roman" w:eastAsia="方正仿宋_GBK" w:cs="方正仿宋_GBK"/>
          <w:sz w:val="30"/>
          <w:szCs w:val="30"/>
          <w:highlight w:val="none"/>
          <w:lang w:val="zh-CN" w:eastAsia="zh-CN"/>
        </w:rPr>
        <w:t>元；报废报损资产</w:t>
      </w:r>
      <w:r>
        <w:rPr>
          <w:rFonts w:hint="eastAsia" w:ascii="Times New Roman" w:hAnsi="Times New Roman" w:eastAsia="方正仿宋_GBK" w:cs="方正仿宋_GBK"/>
          <w:sz w:val="30"/>
          <w:szCs w:val="30"/>
          <w:highlight w:val="none"/>
          <w:lang w:val="en-US" w:eastAsia="zh-CN"/>
        </w:rPr>
        <w:t>0</w:t>
      </w:r>
      <w:r>
        <w:rPr>
          <w:rFonts w:hint="default" w:ascii="Times New Roman" w:hAnsi="Times New Roman" w:eastAsia="方正仿宋_GBK" w:cs="方正仿宋_GBK"/>
          <w:sz w:val="30"/>
          <w:szCs w:val="30"/>
          <w:highlight w:val="none"/>
          <w:lang w:val="zh-CN" w:eastAsia="zh-CN"/>
        </w:rPr>
        <w:t>项，账面原值</w:t>
      </w:r>
      <w:r>
        <w:rPr>
          <w:rFonts w:hint="eastAsia" w:ascii="Times New Roman" w:hAnsi="Times New Roman" w:eastAsia="方正仿宋_GBK" w:cs="方正仿宋_GBK"/>
          <w:sz w:val="30"/>
          <w:szCs w:val="30"/>
          <w:highlight w:val="none"/>
          <w:lang w:val="en-US" w:eastAsia="zh-CN"/>
        </w:rPr>
        <w:t>0.00</w:t>
      </w:r>
      <w:r>
        <w:rPr>
          <w:rFonts w:hint="default" w:ascii="Times New Roman" w:hAnsi="Times New Roman" w:eastAsia="方正仿宋_GBK" w:cs="方正仿宋_GBK"/>
          <w:sz w:val="30"/>
          <w:szCs w:val="30"/>
          <w:highlight w:val="none"/>
          <w:lang w:val="zh-CN" w:eastAsia="zh-CN"/>
        </w:rPr>
        <w:t>元，实现资产处置收入</w:t>
      </w:r>
      <w:r>
        <w:rPr>
          <w:rFonts w:hint="eastAsia" w:ascii="Times New Roman" w:hAnsi="Times New Roman" w:eastAsia="方正仿宋_GBK" w:cs="方正仿宋_GBK"/>
          <w:sz w:val="30"/>
          <w:szCs w:val="30"/>
          <w:highlight w:val="none"/>
          <w:lang w:val="en-US" w:eastAsia="zh-CN"/>
        </w:rPr>
        <w:t>0.00</w:t>
      </w:r>
      <w:r>
        <w:rPr>
          <w:rFonts w:hint="default" w:ascii="Times New Roman" w:hAnsi="Times New Roman" w:eastAsia="方正仿宋_GBK" w:cs="方正仿宋_GBK"/>
          <w:sz w:val="30"/>
          <w:szCs w:val="30"/>
          <w:highlight w:val="none"/>
          <w:lang w:val="zh-CN" w:eastAsia="zh-CN"/>
        </w:rPr>
        <w:t>元；出租房屋</w:t>
      </w:r>
      <w:r>
        <w:rPr>
          <w:rFonts w:hint="eastAsia" w:ascii="Times New Roman" w:hAnsi="Times New Roman" w:eastAsia="方正仿宋_GBK" w:cs="方正仿宋_GBK"/>
          <w:sz w:val="30"/>
          <w:szCs w:val="30"/>
          <w:highlight w:val="none"/>
          <w:lang w:val="en-US" w:eastAsia="zh-CN"/>
        </w:rPr>
        <w:t>0.00</w:t>
      </w:r>
      <w:r>
        <w:rPr>
          <w:rFonts w:hint="default" w:ascii="Times New Roman" w:hAnsi="Times New Roman" w:eastAsia="方正仿宋_GBK" w:cs="方正仿宋_GBK"/>
          <w:sz w:val="30"/>
          <w:szCs w:val="30"/>
          <w:highlight w:val="none"/>
          <w:lang w:val="zh-CN" w:eastAsia="zh-CN"/>
        </w:rPr>
        <w:t>平方米，账面原值</w:t>
      </w:r>
      <w:r>
        <w:rPr>
          <w:rFonts w:hint="eastAsia" w:ascii="Times New Roman" w:hAnsi="Times New Roman" w:eastAsia="方正仿宋_GBK" w:cs="方正仿宋_GBK"/>
          <w:sz w:val="30"/>
          <w:szCs w:val="30"/>
          <w:highlight w:val="none"/>
          <w:lang w:val="en-US" w:eastAsia="zh-CN"/>
        </w:rPr>
        <w:t>0.00</w:t>
      </w:r>
      <w:r>
        <w:rPr>
          <w:rFonts w:hint="default" w:ascii="Times New Roman" w:hAnsi="Times New Roman" w:eastAsia="方正仿宋_GBK" w:cs="方正仿宋_GBK"/>
          <w:sz w:val="30"/>
          <w:szCs w:val="30"/>
          <w:highlight w:val="none"/>
          <w:lang w:val="zh-CN" w:eastAsia="zh-CN"/>
        </w:rPr>
        <w:t>元，实现资产使用收入</w:t>
      </w:r>
      <w:r>
        <w:rPr>
          <w:rFonts w:hint="eastAsia" w:ascii="Times New Roman" w:hAnsi="Times New Roman" w:eastAsia="方正仿宋_GBK" w:cs="方正仿宋_GBK"/>
          <w:sz w:val="30"/>
          <w:szCs w:val="30"/>
          <w:highlight w:val="none"/>
          <w:lang w:val="en-US" w:eastAsia="zh-CN"/>
        </w:rPr>
        <w:t>0.00</w:t>
      </w:r>
      <w:r>
        <w:rPr>
          <w:rFonts w:hint="default" w:ascii="Times New Roman" w:hAnsi="Times New Roman" w:eastAsia="方正仿宋_GBK" w:cs="方正仿宋_GBK"/>
          <w:sz w:val="30"/>
          <w:szCs w:val="30"/>
          <w:highlight w:val="none"/>
          <w:lang w:val="zh-CN" w:eastAsia="zh-CN"/>
        </w:rPr>
        <w:t>元。</w:t>
      </w:r>
    </w:p>
    <w:p w14:paraId="00736F35">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（国有资产占有使用情况表详见附表）</w:t>
      </w:r>
    </w:p>
    <w:p w14:paraId="38845AB4">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三、政府采购支出情况</w:t>
      </w:r>
    </w:p>
    <w:p w14:paraId="4978EE1A">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2025年度，部门政府采购支出总额</w:t>
      </w:r>
      <w:r>
        <w:rPr>
          <w:rFonts w:hint="eastAsia" w:ascii="Times New Roman" w:hAnsi="Times New Roman" w:eastAsia="方正仿宋_GBK" w:cs="方正仿宋_GBK"/>
          <w:sz w:val="30"/>
          <w:szCs w:val="30"/>
          <w:highlight w:val="none"/>
          <w:lang w:val="zh-CN" w:eastAsia="zh-CN"/>
        </w:rPr>
        <w:t>297</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353.49</w:t>
      </w:r>
      <w:r>
        <w:rPr>
          <w:rFonts w:hint="eastAsia" w:ascii="Times New Roman" w:hAnsi="Times New Roman" w:eastAsia="方正仿宋_GBK" w:cs="方正仿宋_GBK"/>
          <w:sz w:val="30"/>
          <w:szCs w:val="30"/>
          <w:highlight w:val="none"/>
          <w:lang w:val="en-US" w:eastAsia="zh-CN"/>
        </w:rPr>
        <w:t>元，其中：政府采购货物支出</w:t>
      </w:r>
      <w:r>
        <w:rPr>
          <w:rFonts w:hint="eastAsia" w:ascii="Times New Roman" w:hAnsi="Times New Roman" w:eastAsia="方正仿宋_GBK" w:cs="方正仿宋_GBK"/>
          <w:sz w:val="30"/>
          <w:szCs w:val="30"/>
          <w:highlight w:val="none"/>
          <w:lang w:val="zh-CN" w:eastAsia="zh-CN"/>
        </w:rPr>
        <w:t>165</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922.16</w:t>
      </w:r>
      <w:r>
        <w:rPr>
          <w:rFonts w:hint="eastAsia" w:ascii="Times New Roman" w:hAnsi="Times New Roman" w:eastAsia="方正仿宋_GBK" w:cs="方正仿宋_GBK"/>
          <w:sz w:val="30"/>
          <w:szCs w:val="30"/>
          <w:highlight w:val="none"/>
          <w:lang w:val="en-US" w:eastAsia="zh-CN"/>
        </w:rPr>
        <w:t>元；政府采购工程支出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元；政府采购服务支出</w:t>
      </w:r>
      <w:r>
        <w:rPr>
          <w:rFonts w:hint="eastAsia" w:ascii="Times New Roman" w:hAnsi="Times New Roman" w:eastAsia="方正仿宋_GBK" w:cs="方正仿宋_GBK"/>
          <w:sz w:val="30"/>
          <w:szCs w:val="30"/>
          <w:highlight w:val="none"/>
          <w:lang w:val="zh-CN" w:eastAsia="zh-CN"/>
        </w:rPr>
        <w:t>131</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431.33</w:t>
      </w:r>
      <w:r>
        <w:rPr>
          <w:rFonts w:hint="eastAsia" w:ascii="Times New Roman" w:hAnsi="Times New Roman" w:eastAsia="方正仿宋_GBK" w:cs="方正仿宋_GBK"/>
          <w:sz w:val="30"/>
          <w:szCs w:val="30"/>
          <w:highlight w:val="none"/>
          <w:lang w:val="en-US" w:eastAsia="zh-CN"/>
        </w:rPr>
        <w:t>元。授予中小企业合同金额</w:t>
      </w:r>
      <w:r>
        <w:rPr>
          <w:rFonts w:hint="eastAsia" w:ascii="Times New Roman" w:hAnsi="Times New Roman" w:eastAsia="方正仿宋_GBK" w:cs="方正仿宋_GBK"/>
          <w:sz w:val="30"/>
          <w:szCs w:val="30"/>
          <w:highlight w:val="none"/>
          <w:lang w:val="zh-CN" w:eastAsia="zh-CN"/>
        </w:rPr>
        <w:t>70</w:t>
      </w:r>
      <w:r>
        <w:rPr>
          <w:rFonts w:hint="default"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zh-CN" w:eastAsia="zh-CN"/>
        </w:rPr>
        <w:t>978.40</w:t>
      </w:r>
      <w:r>
        <w:rPr>
          <w:rFonts w:hint="eastAsia" w:ascii="Times New Roman" w:hAnsi="Times New Roman" w:eastAsia="方正仿宋_GBK" w:cs="方正仿宋_GBK"/>
          <w:sz w:val="30"/>
          <w:szCs w:val="30"/>
          <w:highlight w:val="none"/>
          <w:lang w:val="en-US" w:eastAsia="zh-CN"/>
        </w:rPr>
        <w:t>元，其中：授予小微企业合同金额</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w:t>
      </w:r>
    </w:p>
    <w:p w14:paraId="15EE900E">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四、部门绩效自评情况</w:t>
      </w:r>
    </w:p>
    <w:p w14:paraId="02759C4F">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部门绩效自评情况详见附表。</w:t>
      </w:r>
    </w:p>
    <w:p w14:paraId="0A311DC5">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五、其他重要事项情况说明</w:t>
      </w:r>
    </w:p>
    <w:p w14:paraId="27BA8323">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本部门无其他重要事项情况说明。</w:t>
      </w:r>
    </w:p>
    <w:p w14:paraId="799B8EC6">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六、相关口径说明</w:t>
      </w:r>
    </w:p>
    <w:p w14:paraId="4841E9AA">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w:t>
      </w:r>
      <w:r>
        <w:rPr>
          <w:rFonts w:hint="eastAsia" w:ascii="Times New Roman" w:hAnsi="Times New Roman" w:eastAsia="方正仿宋_GBK" w:cs="方正仿宋_GBK"/>
          <w:sz w:val="30"/>
          <w:szCs w:val="30"/>
          <w:highlight w:val="none"/>
          <w:lang w:val="en-US" w:eastAsia="zh-CN"/>
        </w:rPr>
        <w:t>基本支出中人员经费包括工资福利支出和对个人和家庭的补助，公用经费包括商品和服务支出、资本性支出等人员经费以外的支出。</w:t>
      </w:r>
    </w:p>
    <w:p w14:paraId="51E31913">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w:t>
      </w:r>
      <w:r>
        <w:rPr>
          <w:rFonts w:hint="eastAsia" w:ascii="Times New Roman" w:hAnsi="Times New Roman" w:eastAsia="方正仿宋_GBK" w:cs="方正仿宋_GBK"/>
          <w:sz w:val="30"/>
          <w:szCs w:val="30"/>
          <w:highlight w:val="none"/>
          <w:lang w:val="en-US" w:eastAsia="zh-CN"/>
        </w:rPr>
        <w:t>机关运行经费指行政单位和参照公务员法管理的事业单位使用一般公共预算财政拨款安排的基本支出中的公用经费支出。</w:t>
      </w:r>
    </w:p>
    <w:p w14:paraId="21F330E3">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（三）</w:t>
      </w:r>
      <w:r>
        <w:rPr>
          <w:rFonts w:hint="eastAsia" w:ascii="Times New Roman" w:hAnsi="Times New Roman" w:eastAsia="方正仿宋_GBK" w:cs="方正仿宋_GBK"/>
          <w:sz w:val="30"/>
          <w:szCs w:val="30"/>
          <w:highlight w:val="none"/>
          <w:lang w:val="en-US" w:eastAsia="zh-CN"/>
        </w:rPr>
        <w:t>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460DFA89">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仿宋_GB2312" w:cs="方正小标宋简体"/>
          <w:sz w:val="30"/>
          <w:szCs w:val="30"/>
          <w:highlight w:val="none"/>
        </w:rPr>
      </w:pPr>
      <w:r>
        <w:rPr>
          <w:rFonts w:hint="eastAsia" w:ascii="Times New Roman" w:hAnsi="Times New Roman" w:eastAsia="方正楷体_GBK" w:cs="方正楷体_GBK"/>
          <w:sz w:val="30"/>
          <w:szCs w:val="30"/>
          <w:highlight w:val="none"/>
          <w:lang w:val="en-US" w:eastAsia="zh-CN"/>
        </w:rPr>
        <w:t>（四）</w:t>
      </w:r>
      <w:r>
        <w:rPr>
          <w:rFonts w:hint="eastAsia" w:ascii="Times New Roman" w:hAnsi="Times New Roman" w:eastAsia="方正仿宋_GBK" w:cs="方正仿宋_GBK"/>
          <w:sz w:val="30"/>
          <w:szCs w:val="30"/>
          <w:highlight w:val="none"/>
          <w:lang w:val="en-US" w:eastAsia="zh-CN"/>
        </w:rPr>
        <w:t>本文所称财政拨款“三公”经费决算数是指各部门（含下属单位）当年通过本级财政拨款和以前年度财政拨款结转结余资金安排的因公出国（境）费用、公务用车购置及运行维护费和公务接待费支出数（包括基本支出和项目支出）。</w:t>
      </w:r>
    </w:p>
    <w:p w14:paraId="1AA7CC76">
      <w:pPr>
        <w:keepNext w:val="0"/>
        <w:keepLines w:val="0"/>
        <w:pageBreakBefore w:val="0"/>
        <w:kinsoku/>
        <w:overflowPunct/>
        <w:topLinePunct w:val="0"/>
        <w:autoSpaceDE/>
        <w:autoSpaceDN/>
        <w:bidi w:val="0"/>
        <w:spacing w:line="590" w:lineRule="exact"/>
        <w:jc w:val="center"/>
        <w:textAlignment w:val="auto"/>
        <w:outlineLvl w:val="0"/>
        <w:rPr>
          <w:rFonts w:hint="eastAsia" w:ascii="Times New Roman" w:hAnsi="Times New Roman" w:eastAsia="黑体" w:cs="方正小标宋简体"/>
          <w:sz w:val="32"/>
          <w:szCs w:val="32"/>
          <w:highlight w:val="none"/>
        </w:rPr>
      </w:pPr>
      <w:r>
        <w:rPr>
          <w:rFonts w:hint="eastAsia" w:ascii="Times New Roman" w:hAnsi="Times New Roman" w:eastAsia="方正黑体_GBK" w:cs="方正黑体_GBK"/>
          <w:sz w:val="32"/>
          <w:szCs w:val="32"/>
          <w:highlight w:val="none"/>
        </w:rPr>
        <w:t>第</w:t>
      </w:r>
      <w:r>
        <w:rPr>
          <w:rFonts w:hint="eastAsia" w:ascii="Times New Roman" w:hAnsi="Times New Roman" w:eastAsia="方正黑体_GBK" w:cs="方正黑体_GBK"/>
          <w:sz w:val="32"/>
          <w:szCs w:val="32"/>
          <w:highlight w:val="none"/>
          <w:lang w:eastAsia="zh-CN"/>
        </w:rPr>
        <w:t>五</w:t>
      </w:r>
      <w:r>
        <w:rPr>
          <w:rFonts w:hint="eastAsia" w:ascii="Times New Roman" w:hAnsi="Times New Roman" w:eastAsia="方正黑体_GBK" w:cs="方正黑体_GBK"/>
          <w:sz w:val="32"/>
          <w:szCs w:val="32"/>
          <w:highlight w:val="none"/>
        </w:rPr>
        <w:t>部分  名词解释</w:t>
      </w:r>
    </w:p>
    <w:p w14:paraId="0A5F7457">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FB3D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0B313A1">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30B313A1">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8CFA6">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74EE2B5B">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831B3">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7C6C4B"/>
    <w:rsid w:val="0B2818F7"/>
    <w:rsid w:val="10826587"/>
    <w:rsid w:val="25932677"/>
    <w:rsid w:val="2AA16847"/>
    <w:rsid w:val="2ACD7DE5"/>
    <w:rsid w:val="2C1A353B"/>
    <w:rsid w:val="32E67608"/>
    <w:rsid w:val="35580698"/>
    <w:rsid w:val="37F15A74"/>
    <w:rsid w:val="380E2692"/>
    <w:rsid w:val="3AEA1BF7"/>
    <w:rsid w:val="3AEE3E08"/>
    <w:rsid w:val="48FA7698"/>
    <w:rsid w:val="51930ECB"/>
    <w:rsid w:val="51C17F74"/>
    <w:rsid w:val="53757DF2"/>
    <w:rsid w:val="566710FD"/>
    <w:rsid w:val="5DD80B48"/>
    <w:rsid w:val="5FF4670B"/>
    <w:rsid w:val="632D2980"/>
    <w:rsid w:val="655C0812"/>
    <w:rsid w:val="6BF5345E"/>
    <w:rsid w:val="6E7721FD"/>
    <w:rsid w:val="6FBE23AD"/>
    <w:rsid w:val="7B2335C6"/>
    <w:rsid w:val="7CE9168E"/>
    <w:rsid w:val="7E685262"/>
    <w:rsid w:val="94BFED4C"/>
    <w:rsid w:val="C7DEA022"/>
    <w:rsid w:val="CFF559C4"/>
    <w:rsid w:val="DEFFE4FA"/>
    <w:rsid w:val="FB3D11A1"/>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fmtid="{D5CDD505-2E9C-101B-9397-08002B2CF9AE}" name="KSOProductBuildVer">
    <vt:lpwstr xmlns:vt="http://schemas.openxmlformats.org/officeDocument/2006/docPropsVTypes">2052-11.8.2.12309</vt:lpwstr>
  </property>
  <property xmlns="http://schemas.openxmlformats.org/officeDocument/2006/custom-properties" pid="3" fmtid="{D5CDD505-2E9C-101B-9397-08002B2CF9AE}" name="ICV">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f4a289-a7ea-44e4-adef-182be8b223a2}">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6875</Words>
  <Characters>8171</Characters>
  <Lines>0</Lines>
  <Paragraphs>0</Paragraphs>
  <TotalTime>69</TotalTime>
  <ScaleCrop>false</ScaleCrop>
  <LinksUpToDate>false</LinksUpToDate>
  <CharactersWithSpaces>8192</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2025-06-27T17:23:00Z</dcterms:created>
  <dc:creator>jq</dc:creator>
  <cp:lastModifiedBy>kylin</cp:lastModifiedBy>
  <dcterms:modified xsi:type="dcterms:W3CDTF">2026-10-10T08:40:24Z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5DAF5EB8AEE515DEE8A6C86ABBC95E70_43</vt:lpwstr>
  </property>
  <property fmtid="{D5CDD505-2E9C-101B-9397-08002B2CF9AE}" pid="4" name="KSOTemplateDocerSaveRecord">
    <vt:lpwstr>eyJoZGlkIjoiNjhhMzU1ZTEwMWEwNWYyMzc3OWQ5MzY4MGViMTEyZmMiLCJ1c2VySWQiOiIxNTIxNzMyOTY0In0=</vt:lpwstr>
  </property>
</Properties>
</file>