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华宁县建设工程质量监督管理站</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pPr>
        <w:jc w:val="center"/>
        <w:rPr>
          <w:rFonts w:hint="eastAsia" w:ascii="方正小标宋简体" w:hAnsi="方正小标宋简体" w:eastAsia="方正小标宋简体" w:cs="方正小标宋简体"/>
          <w:sz w:val="36"/>
          <w:szCs w:val="36"/>
          <w:highlight w:val="none"/>
        </w:rPr>
      </w:pPr>
    </w:p>
    <w:p>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jc w:val="left"/>
        <w:rPr>
          <w:rFonts w:hint="eastAsia" w:ascii="黑体" w:hAnsi="黑体" w:eastAsia="黑体"/>
          <w:sz w:val="30"/>
          <w:szCs w:val="30"/>
          <w:highlight w:val="none"/>
        </w:rPr>
      </w:pP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both"/>
        <w:rPr>
          <w:rFonts w:hint="eastAsia" w:ascii="黑体" w:hAnsi="黑体" w:eastAsia="黑体"/>
          <w:sz w:val="32"/>
          <w:szCs w:val="32"/>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keepNext w:val="0"/>
        <w:keepLines w:val="0"/>
        <w:pageBreakBefore w:val="0"/>
        <w:numPr>
          <w:ilvl w:val="0"/>
          <w:numId w:val="1"/>
        </w:numPr>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受理房屋建筑和市政工程新建、扩建、改建项目质量、安全注册手续办理。</w:t>
      </w:r>
    </w:p>
    <w:p>
      <w:pPr>
        <w:keepNext w:val="0"/>
        <w:keepLines w:val="0"/>
        <w:pageBreakBefore w:val="0"/>
        <w:numPr>
          <w:ilvl w:val="0"/>
          <w:numId w:val="1"/>
        </w:numPr>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对已报监项目进行工程质量、安全监督管理。</w:t>
      </w:r>
    </w:p>
    <w:p>
      <w:pPr>
        <w:keepNext w:val="0"/>
        <w:keepLines w:val="0"/>
        <w:pageBreakBefore w:val="0"/>
        <w:numPr>
          <w:ilvl w:val="0"/>
          <w:numId w:val="1"/>
        </w:numPr>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对项目的竣工验收过程进行监督。</w:t>
      </w:r>
    </w:p>
    <w:p>
      <w:pPr>
        <w:keepNext w:val="0"/>
        <w:keepLines w:val="0"/>
        <w:pageBreakBefore w:val="0"/>
        <w:numPr>
          <w:ilvl w:val="0"/>
          <w:numId w:val="1"/>
        </w:numPr>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受理房屋建筑和市政基础设施工程竣工验收备案。</w:t>
      </w:r>
    </w:p>
    <w:p>
      <w:pPr>
        <w:keepNext w:val="0"/>
        <w:keepLines w:val="0"/>
        <w:pageBreakBefore w:val="0"/>
        <w:numPr>
          <w:ilvl w:val="0"/>
          <w:numId w:val="1"/>
        </w:numPr>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受理建筑起重机械产权备案和使用登记备案。</w:t>
      </w:r>
    </w:p>
    <w:p>
      <w:pPr>
        <w:keepNext w:val="0"/>
        <w:keepLines w:val="0"/>
        <w:pageBreakBefore w:val="0"/>
        <w:numPr>
          <w:ilvl w:val="0"/>
          <w:numId w:val="1"/>
        </w:numPr>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对建筑工地扬尘防治进行监督管理。</w:t>
      </w:r>
    </w:p>
    <w:p>
      <w:pPr>
        <w:keepNext w:val="0"/>
        <w:keepLines w:val="0"/>
        <w:pageBreakBefore w:val="0"/>
        <w:numPr>
          <w:ilvl w:val="0"/>
          <w:numId w:val="1"/>
        </w:numPr>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方正仿宋_GBK" w:cs="Times New Roman"/>
          <w:color w:val="auto"/>
          <w:sz w:val="32"/>
          <w:szCs w:val="32"/>
        </w:rPr>
        <w:t>完成住建局安排的其他工作。</w:t>
      </w:r>
    </w:p>
    <w:p>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right="0" w:rightChars="0" w:firstLine="600"/>
        <w:jc w:val="both"/>
        <w:textAlignment w:val="auto"/>
        <w:outlineLvl w:val="9"/>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华宁县建设工程质量监督管理站</w:t>
      </w:r>
      <w:r>
        <w:rPr>
          <w:rFonts w:hint="default" w:ascii="Times New Roman" w:hAnsi="Times New Roman" w:eastAsia="仿宋_GB2312" w:cs="Times New Roman"/>
          <w:sz w:val="30"/>
          <w:szCs w:val="30"/>
          <w:lang w:eastAsia="zh-CN"/>
        </w:rPr>
        <w:t>为基层预算单位，</w:t>
      </w:r>
      <w:r>
        <w:rPr>
          <w:rFonts w:hint="default" w:ascii="Times New Roman" w:hAnsi="Times New Roman" w:eastAsia="仿宋_GB2312" w:cs="Times New Roman"/>
          <w:sz w:val="30"/>
          <w:szCs w:val="30"/>
        </w:rPr>
        <w:t>无内设机构、</w:t>
      </w:r>
      <w:r>
        <w:rPr>
          <w:rFonts w:hint="default" w:ascii="Times New Roman" w:hAnsi="Times New Roman" w:eastAsia="仿宋_GB2312" w:cs="Times New Roman"/>
          <w:sz w:val="30"/>
          <w:szCs w:val="30"/>
          <w:lang w:eastAsia="zh-CN"/>
        </w:rPr>
        <w:t>无下属</w:t>
      </w:r>
      <w:r>
        <w:rPr>
          <w:rFonts w:hint="default" w:ascii="Times New Roman" w:hAnsi="Times New Roman" w:eastAsia="仿宋_GB2312" w:cs="Times New Roman"/>
          <w:sz w:val="30"/>
          <w:szCs w:val="30"/>
        </w:rPr>
        <w:t>单位。</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华宁县住建局的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16</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16</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p>
    <w:p>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keepNext w:val="0"/>
        <w:keepLines w:val="0"/>
        <w:pageBreakBefore w:val="0"/>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sz w:val="32"/>
          <w:szCs w:val="32"/>
        </w:rPr>
        <w:t>（</w:t>
      </w:r>
      <w:r>
        <w:rPr>
          <w:rFonts w:hint="eastAsia" w:eastAsia="方正楷体_GBK" w:cs="Times New Roman"/>
          <w:color w:val="auto"/>
          <w:sz w:val="32"/>
          <w:szCs w:val="32"/>
          <w:lang w:eastAsia="zh-CN"/>
        </w:rPr>
        <w:t>一</w:t>
      </w:r>
      <w:r>
        <w:rPr>
          <w:rFonts w:hint="default" w:ascii="Times New Roman" w:hAnsi="Times New Roman" w:eastAsia="方正楷体_GBK" w:cs="Times New Roman"/>
          <w:color w:val="auto"/>
          <w:sz w:val="32"/>
          <w:szCs w:val="32"/>
        </w:rPr>
        <w:t>）监督手续办理。</w:t>
      </w:r>
      <w:r>
        <w:rPr>
          <w:rFonts w:hint="default" w:ascii="Times New Roman" w:hAnsi="Times New Roman" w:eastAsia="方正仿宋_GBK" w:cs="Times New Roman"/>
          <w:color w:val="auto"/>
          <w:sz w:val="32"/>
          <w:szCs w:val="32"/>
          <w:shd w:val="clear" w:color="auto" w:fill="auto"/>
        </w:rPr>
        <w:t>202</w:t>
      </w:r>
      <w:r>
        <w:rPr>
          <w:rFonts w:hint="default" w:ascii="Times New Roman" w:hAnsi="Times New Roman" w:eastAsia="方正仿宋_GBK" w:cs="Times New Roman"/>
          <w:color w:val="auto"/>
          <w:sz w:val="32"/>
          <w:szCs w:val="32"/>
          <w:shd w:val="clear" w:color="auto" w:fill="auto"/>
          <w:lang w:val="en-US" w:eastAsia="zh-CN"/>
        </w:rPr>
        <w:t>5</w:t>
      </w:r>
      <w:r>
        <w:rPr>
          <w:rFonts w:hint="default" w:ascii="Times New Roman" w:hAnsi="Times New Roman" w:eastAsia="方正仿宋_GBK" w:cs="Times New Roman"/>
          <w:color w:val="auto"/>
          <w:sz w:val="32"/>
          <w:szCs w:val="32"/>
          <w:shd w:val="clear" w:color="auto" w:fill="auto"/>
        </w:rPr>
        <w:t>年新增</w:t>
      </w:r>
      <w:r>
        <w:rPr>
          <w:rFonts w:hint="default" w:ascii="Times New Roman" w:hAnsi="Times New Roman" w:eastAsia="方正仿宋_GBK" w:cs="Times New Roman"/>
          <w:color w:val="auto"/>
          <w:sz w:val="32"/>
          <w:szCs w:val="32"/>
          <w:shd w:val="clear" w:color="auto" w:fill="auto"/>
          <w:lang w:eastAsia="zh-CN"/>
        </w:rPr>
        <w:t>房屋建筑</w:t>
      </w:r>
      <w:r>
        <w:rPr>
          <w:rFonts w:hint="default" w:ascii="Times New Roman" w:hAnsi="Times New Roman" w:eastAsia="方正仿宋_GBK" w:cs="Times New Roman"/>
          <w:color w:val="auto"/>
          <w:sz w:val="32"/>
          <w:szCs w:val="32"/>
          <w:shd w:val="clear" w:color="auto" w:fill="auto"/>
        </w:rPr>
        <w:t>工程</w:t>
      </w:r>
      <w:r>
        <w:rPr>
          <w:rFonts w:hint="default" w:ascii="Times New Roman" w:hAnsi="Times New Roman" w:eastAsia="方正仿宋_GBK" w:cs="Times New Roman"/>
          <w:color w:val="auto"/>
          <w:sz w:val="32"/>
          <w:szCs w:val="32"/>
          <w:shd w:val="clear" w:color="auto" w:fill="auto"/>
          <w:lang w:val="en-US" w:eastAsia="zh-CN"/>
        </w:rPr>
        <w:t>17</w:t>
      </w:r>
      <w:r>
        <w:rPr>
          <w:rFonts w:hint="default" w:ascii="Times New Roman" w:hAnsi="Times New Roman" w:eastAsia="方正仿宋_GBK" w:cs="Times New Roman"/>
          <w:color w:val="auto"/>
          <w:sz w:val="32"/>
          <w:szCs w:val="32"/>
          <w:shd w:val="clear" w:color="auto" w:fill="auto"/>
        </w:rPr>
        <w:t>项，建筑面积约</w:t>
      </w:r>
      <w:r>
        <w:rPr>
          <w:rFonts w:hint="default" w:ascii="Times New Roman" w:hAnsi="Times New Roman" w:eastAsia="方正仿宋_GBK" w:cs="Times New Roman"/>
          <w:color w:val="auto"/>
          <w:sz w:val="32"/>
          <w:szCs w:val="32"/>
          <w:lang w:val="en-US" w:eastAsia="zh-CN"/>
        </w:rPr>
        <w:t>12.</w:t>
      </w:r>
      <w:r>
        <w:rPr>
          <w:rFonts w:hint="eastAsia" w:ascii="Times New Roman" w:hAnsi="Times New Roman" w:eastAsia="方正仿宋_GBK" w:cs="Times New Roman"/>
          <w:color w:val="auto"/>
          <w:sz w:val="32"/>
          <w:szCs w:val="32"/>
          <w:lang w:val="en-US" w:eastAsia="zh-CN"/>
        </w:rPr>
        <w:t>89</w:t>
      </w:r>
      <w:r>
        <w:rPr>
          <w:rFonts w:hint="default" w:ascii="Times New Roman" w:hAnsi="Times New Roman" w:eastAsia="方正仿宋_GBK" w:cs="Times New Roman"/>
          <w:color w:val="auto"/>
          <w:sz w:val="32"/>
          <w:szCs w:val="32"/>
          <w:lang w:val="en-US" w:eastAsia="zh-CN"/>
        </w:rPr>
        <w:t>万㎡</w:t>
      </w:r>
      <w:r>
        <w:rPr>
          <w:rFonts w:hint="default" w:ascii="Times New Roman" w:hAnsi="Times New Roman" w:eastAsia="方正仿宋_GBK" w:cs="Times New Roman"/>
          <w:color w:val="auto"/>
          <w:sz w:val="32"/>
          <w:szCs w:val="32"/>
          <w:shd w:val="clear" w:color="auto" w:fill="auto"/>
          <w:lang w:eastAsia="zh-CN"/>
        </w:rPr>
        <w:t>，市政</w:t>
      </w:r>
      <w:r>
        <w:rPr>
          <w:rFonts w:hint="default" w:ascii="Times New Roman" w:hAnsi="Times New Roman" w:eastAsia="方正仿宋_GBK" w:cs="Times New Roman"/>
          <w:color w:val="auto"/>
          <w:sz w:val="32"/>
          <w:szCs w:val="32"/>
          <w:shd w:val="clear" w:color="auto" w:fill="auto"/>
          <w:lang w:val="en-US" w:eastAsia="zh-CN"/>
        </w:rPr>
        <w:t>工程1项，</w:t>
      </w:r>
      <w:r>
        <w:rPr>
          <w:rFonts w:hint="default" w:ascii="Times New Roman" w:hAnsi="Times New Roman" w:eastAsia="方正仿宋_GBK" w:cs="Times New Roman"/>
          <w:color w:val="auto"/>
          <w:sz w:val="32"/>
          <w:szCs w:val="32"/>
          <w:lang w:val="en-US" w:eastAsia="zh-CN"/>
        </w:rPr>
        <w:t>合计长度约36.67km</w:t>
      </w:r>
      <w:r>
        <w:rPr>
          <w:rFonts w:hint="default" w:ascii="Times New Roman" w:hAnsi="Times New Roman" w:eastAsia="方正仿宋_GBK" w:cs="Times New Roman"/>
          <w:color w:val="auto"/>
          <w:sz w:val="32"/>
          <w:szCs w:val="32"/>
          <w:shd w:val="clear" w:color="auto" w:fill="auto"/>
        </w:rPr>
        <w:t>。</w:t>
      </w:r>
      <w:r>
        <w:rPr>
          <w:rFonts w:hint="default" w:ascii="Times New Roman" w:hAnsi="Times New Roman" w:eastAsia="方正仿宋_GBK" w:cs="Times New Roman"/>
          <w:color w:val="auto"/>
          <w:sz w:val="32"/>
          <w:szCs w:val="32"/>
        </w:rPr>
        <w:t>历年结转工程</w:t>
      </w:r>
      <w:r>
        <w:rPr>
          <w:rFonts w:hint="default" w:ascii="Times New Roman" w:hAnsi="Times New Roman" w:eastAsia="方正仿宋_GBK" w:cs="Times New Roman"/>
          <w:color w:val="auto"/>
          <w:sz w:val="32"/>
          <w:szCs w:val="32"/>
          <w:lang w:val="en-US" w:eastAsia="zh-CN"/>
        </w:rPr>
        <w:t>15</w:t>
      </w:r>
      <w:r>
        <w:rPr>
          <w:rFonts w:hint="default" w:ascii="Times New Roman" w:hAnsi="Times New Roman" w:eastAsia="方正仿宋_GBK" w:cs="Times New Roman"/>
          <w:color w:val="auto"/>
          <w:sz w:val="32"/>
          <w:szCs w:val="32"/>
        </w:rPr>
        <w:t>项</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目前，我县共有监管工程</w:t>
      </w:r>
      <w:r>
        <w:rPr>
          <w:rFonts w:hint="default" w:ascii="Times New Roman" w:hAnsi="Times New Roman" w:eastAsia="方正仿宋_GBK" w:cs="Times New Roman"/>
          <w:color w:val="auto"/>
          <w:sz w:val="32"/>
          <w:szCs w:val="32"/>
          <w:lang w:val="en-US" w:eastAsia="zh-CN"/>
        </w:rPr>
        <w:t>32</w:t>
      </w:r>
      <w:r>
        <w:rPr>
          <w:rFonts w:hint="default" w:ascii="Times New Roman" w:hAnsi="Times New Roman" w:eastAsia="方正仿宋_GBK" w:cs="Times New Roman"/>
          <w:color w:val="auto"/>
          <w:sz w:val="32"/>
          <w:szCs w:val="32"/>
        </w:rPr>
        <w:t>项，建筑面积</w:t>
      </w:r>
      <w:r>
        <w:rPr>
          <w:rFonts w:hint="default" w:ascii="Times New Roman" w:hAnsi="Times New Roman" w:eastAsia="方正仿宋_GBK" w:cs="Times New Roman"/>
          <w:color w:val="auto"/>
          <w:sz w:val="32"/>
          <w:szCs w:val="32"/>
          <w:lang w:val="en-US" w:eastAsia="zh-CN"/>
        </w:rPr>
        <w:t>52.</w:t>
      </w:r>
      <w:r>
        <w:rPr>
          <w:rFonts w:hint="eastAsia" w:ascii="Times New Roman" w:hAnsi="Times New Roman" w:eastAsia="方正仿宋_GBK" w:cs="Times New Roman"/>
          <w:color w:val="auto"/>
          <w:sz w:val="32"/>
          <w:szCs w:val="32"/>
          <w:lang w:val="en-US" w:eastAsia="zh-CN"/>
        </w:rPr>
        <w:t>78</w:t>
      </w:r>
      <w:r>
        <w:rPr>
          <w:rFonts w:hint="default" w:ascii="Times New Roman" w:hAnsi="Times New Roman" w:eastAsia="方正仿宋_GBK" w:cs="Times New Roman"/>
          <w:color w:val="auto"/>
          <w:sz w:val="32"/>
          <w:szCs w:val="32"/>
        </w:rPr>
        <w:t>万平方米</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市政</w:t>
      </w:r>
      <w:r>
        <w:rPr>
          <w:rFonts w:hint="default" w:ascii="Times New Roman" w:hAnsi="Times New Roman" w:eastAsia="方正仿宋_GBK" w:cs="Times New Roman"/>
          <w:color w:val="auto"/>
          <w:sz w:val="32"/>
          <w:szCs w:val="32"/>
          <w:lang w:val="en-US" w:eastAsia="zh-CN"/>
        </w:rPr>
        <w:t>燃气</w:t>
      </w:r>
      <w:r>
        <w:rPr>
          <w:rFonts w:hint="default" w:ascii="Times New Roman" w:hAnsi="Times New Roman" w:eastAsia="方正仿宋_GBK" w:cs="Times New Roman"/>
          <w:color w:val="auto"/>
          <w:sz w:val="32"/>
          <w:szCs w:val="32"/>
        </w:rPr>
        <w:t>管道长度约</w:t>
      </w:r>
      <w:r>
        <w:rPr>
          <w:rFonts w:hint="default" w:ascii="Times New Roman" w:hAnsi="Times New Roman" w:eastAsia="方正仿宋_GBK" w:cs="Times New Roman"/>
          <w:color w:val="auto"/>
          <w:sz w:val="32"/>
          <w:szCs w:val="32"/>
          <w:lang w:val="en-US" w:eastAsia="zh-CN"/>
        </w:rPr>
        <w:t>36.67km</w:t>
      </w:r>
      <w:r>
        <w:rPr>
          <w:rFonts w:hint="default" w:ascii="Times New Roman" w:hAnsi="Times New Roman" w:eastAsia="方正仿宋_GBK" w:cs="Times New Roman"/>
          <w:color w:val="auto"/>
          <w:sz w:val="32"/>
          <w:szCs w:val="32"/>
        </w:rPr>
        <w:t>。全部项目实行网上申报，纳入云南省建设</w:t>
      </w:r>
      <w:r>
        <w:rPr>
          <w:rFonts w:hint="default" w:ascii="Times New Roman" w:hAnsi="Times New Roman" w:eastAsia="方正仿宋_GBK" w:cs="Times New Roman"/>
          <w:color w:val="auto"/>
          <w:sz w:val="32"/>
          <w:szCs w:val="32"/>
          <w:lang w:eastAsia="zh-CN"/>
        </w:rPr>
        <w:t>监管公共服务平台</w:t>
      </w:r>
      <w:r>
        <w:rPr>
          <w:rFonts w:hint="default" w:ascii="Times New Roman" w:hAnsi="Times New Roman" w:eastAsia="方正仿宋_GBK" w:cs="Times New Roman"/>
          <w:color w:val="auto"/>
          <w:sz w:val="32"/>
          <w:szCs w:val="32"/>
        </w:rPr>
        <w:t>及全国工程质量安全监管信息平台实现信息化管理。</w:t>
      </w:r>
    </w:p>
    <w:p>
      <w:pPr>
        <w:keepNext w:val="0"/>
        <w:keepLines w:val="0"/>
        <w:pageBreakBefore w:val="0"/>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sz w:val="32"/>
          <w:szCs w:val="32"/>
        </w:rPr>
        <w:t>（</w:t>
      </w:r>
      <w:r>
        <w:rPr>
          <w:rFonts w:hint="default" w:ascii="Times New Roman" w:hAnsi="Times New Roman" w:eastAsia="方正楷体_GBK" w:cs="Times New Roman"/>
          <w:color w:val="auto"/>
          <w:sz w:val="32"/>
          <w:szCs w:val="32"/>
          <w:lang w:eastAsia="zh-CN"/>
        </w:rPr>
        <w:t>二</w:t>
      </w:r>
      <w:r>
        <w:rPr>
          <w:rFonts w:hint="default" w:ascii="Times New Roman" w:hAnsi="Times New Roman" w:eastAsia="方正楷体_GBK" w:cs="Times New Roman"/>
          <w:color w:val="auto"/>
          <w:sz w:val="32"/>
          <w:szCs w:val="32"/>
        </w:rPr>
        <w:t>）竣工验收监督及竣工验收备案。</w:t>
      </w:r>
      <w:r>
        <w:rPr>
          <w:rFonts w:hint="default" w:ascii="Times New Roman" w:hAnsi="Times New Roman" w:eastAsia="方正仿宋_GBK" w:cs="Times New Roman"/>
          <w:color w:val="auto"/>
          <w:sz w:val="32"/>
          <w:szCs w:val="32"/>
        </w:rPr>
        <w:t>受理房屋市政工程项目竣工验收监督</w:t>
      </w:r>
      <w:r>
        <w:rPr>
          <w:rFonts w:hint="default"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项，建筑面积</w:t>
      </w:r>
      <w:r>
        <w:rPr>
          <w:rFonts w:hint="eastAsia" w:ascii="Times New Roman" w:hAnsi="Times New Roman" w:eastAsia="方正仿宋_GBK" w:cs="Times New Roman"/>
          <w:color w:val="auto"/>
          <w:sz w:val="32"/>
          <w:szCs w:val="32"/>
          <w:lang w:val="en-US" w:eastAsia="zh-CN"/>
        </w:rPr>
        <w:t>12.68</w:t>
      </w:r>
      <w:r>
        <w:rPr>
          <w:rFonts w:hint="default" w:ascii="Times New Roman" w:hAnsi="Times New Roman" w:eastAsia="方正仿宋_GBK" w:cs="Times New Roman"/>
          <w:color w:val="auto"/>
          <w:sz w:val="32"/>
          <w:szCs w:val="32"/>
        </w:rPr>
        <w:t>万平方米。受理工程项目竣工验收备案</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项，建筑面积</w:t>
      </w:r>
      <w:r>
        <w:rPr>
          <w:rFonts w:hint="default" w:ascii="Times New Roman" w:hAnsi="Times New Roman" w:eastAsia="方正仿宋_GBK" w:cs="Times New Roman"/>
          <w:color w:val="auto"/>
          <w:sz w:val="32"/>
          <w:szCs w:val="32"/>
          <w:lang w:val="en-US" w:eastAsia="zh-CN"/>
        </w:rPr>
        <w:t>5.</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万平方米。</w:t>
      </w:r>
    </w:p>
    <w:p>
      <w:pPr>
        <w:keepNext w:val="0"/>
        <w:keepLines w:val="0"/>
        <w:pageBreakBefore w:val="0"/>
        <w:numPr>
          <w:ilvl w:val="0"/>
          <w:numId w:val="0"/>
        </w:numPr>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楷体" w:cs="Times New Roman"/>
          <w:color w:val="auto"/>
          <w:sz w:val="32"/>
          <w:szCs w:val="32"/>
        </w:rPr>
      </w:pPr>
      <w:r>
        <w:rPr>
          <w:rFonts w:hint="default" w:ascii="Times New Roman" w:hAnsi="Times New Roman" w:eastAsia="方正楷体_GBK" w:cs="Times New Roman"/>
          <w:color w:val="auto"/>
          <w:sz w:val="32"/>
          <w:szCs w:val="32"/>
          <w:lang w:eastAsia="zh-CN"/>
        </w:rPr>
        <w:t>（三）</w:t>
      </w:r>
      <w:r>
        <w:rPr>
          <w:rFonts w:hint="default" w:ascii="Times New Roman" w:hAnsi="Times New Roman" w:eastAsia="方正楷体_GBK" w:cs="Times New Roman"/>
          <w:color w:val="auto"/>
          <w:sz w:val="32"/>
          <w:szCs w:val="32"/>
        </w:rPr>
        <w:t>工程质量安全监督管理</w:t>
      </w:r>
      <w:r>
        <w:rPr>
          <w:rFonts w:hint="default" w:ascii="Times New Roman" w:hAnsi="Times New Roman" w:eastAsia="方正楷体_GBK" w:cs="Times New Roman"/>
          <w:color w:val="auto"/>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1、高度重视、周密部署。全年共召开房屋市政工程领域质量及安全生产专题会3次，安排部署房屋市政工程质量安全工作及开展业务技能提升培训。结合日常监管工作，下发了《</w:t>
      </w:r>
      <w:r>
        <w:rPr>
          <w:rFonts w:hint="default" w:ascii="Times New Roman" w:hAnsi="Times New Roman" w:eastAsia="方正仿宋_GBK" w:cs="Times New Roman"/>
          <w:color w:val="auto"/>
          <w:sz w:val="32"/>
          <w:szCs w:val="32"/>
        </w:rPr>
        <w:t>华宁县质安监站关于做好2025年“两会”及春节期间建筑施工领域安全生产工作的通知</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b w:val="0"/>
          <w:bCs/>
          <w:color w:val="auto"/>
          <w:sz w:val="32"/>
          <w:szCs w:val="32"/>
        </w:rPr>
        <w:t>华宁县质安监关于做好“五一”、端午期间和汛期安全防范工作的通知</w:t>
      </w:r>
      <w:r>
        <w:rPr>
          <w:rFonts w:hint="default" w:ascii="Times New Roman" w:hAnsi="Times New Roman" w:eastAsia="方正仿宋_GBK" w:cs="Times New Roman"/>
          <w:color w:val="auto"/>
          <w:sz w:val="32"/>
          <w:szCs w:val="32"/>
          <w:lang w:val="en-US" w:eastAsia="zh-CN"/>
        </w:rPr>
        <w:t>》《华宁县质安监站关于开展2025年房屋市政工程领域“安全生产月”活动的通知》《华宁县质安监站关于切实做好2025年中秋国庆期间房屋市政工程安全生产工作的通知》《关于印发华宁县房屋市政工程防范高处坠落和物体打击专项整治行动方案的通知》《华宁县质安监站关于扎实做好岁末年初及2026年元旦春节期间安全防范工作的通知》等文件，进一步压实参建单位主体责任，督促参建单位认真履行安全生产主体责任。</w:t>
      </w:r>
    </w:p>
    <w:p>
      <w:pPr>
        <w:keepNext w:val="0"/>
        <w:keepLines w:val="0"/>
        <w:pageBreakBefore w:val="0"/>
        <w:numPr>
          <w:ilvl w:val="0"/>
          <w:numId w:val="0"/>
        </w:numPr>
        <w:kinsoku/>
        <w:wordWrap/>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2、开展专项行动。</w:t>
      </w:r>
      <w:r>
        <w:rPr>
          <w:rFonts w:hint="default" w:ascii="Times New Roman" w:hAnsi="Times New Roman" w:eastAsia="方正仿宋_GBK" w:cs="Times New Roman"/>
          <w:color w:val="auto"/>
          <w:sz w:val="32"/>
          <w:szCs w:val="32"/>
        </w:rPr>
        <w:t>扎实开展“房屋市政工程安全生产治本攻坚三年行动”、</w:t>
      </w:r>
      <w:r>
        <w:rPr>
          <w:rFonts w:hint="default" w:ascii="Times New Roman" w:hAnsi="Times New Roman" w:eastAsia="方正仿宋_GBK" w:cs="Times New Roman"/>
          <w:color w:val="auto"/>
          <w:sz w:val="32"/>
          <w:szCs w:val="32"/>
          <w:lang w:eastAsia="zh-CN"/>
        </w:rPr>
        <w:t>“建筑起重机械专项整治”</w:t>
      </w:r>
      <w:r>
        <w:rPr>
          <w:rFonts w:hint="default" w:ascii="Times New Roman" w:hAnsi="Times New Roman" w:eastAsia="方正仿宋_GBK" w:cs="Times New Roman"/>
          <w:color w:val="auto"/>
          <w:sz w:val="32"/>
          <w:szCs w:val="32"/>
        </w:rPr>
        <w:t>“汛期安全生产大检查”、“安全生产月”</w:t>
      </w:r>
      <w:r>
        <w:rPr>
          <w:rFonts w:hint="default" w:ascii="Times New Roman" w:hAnsi="Times New Roman" w:eastAsia="方正仿宋_GBK" w:cs="Times New Roman"/>
          <w:color w:val="auto"/>
          <w:sz w:val="32"/>
          <w:szCs w:val="32"/>
          <w:lang w:eastAsia="zh-CN"/>
        </w:rPr>
        <w:t>、“建设工程质量检测专项整治行动”、“</w:t>
      </w:r>
      <w:r>
        <w:rPr>
          <w:rFonts w:hint="default" w:ascii="Times New Roman" w:hAnsi="Times New Roman" w:eastAsia="方正仿宋_GBK" w:cs="Times New Roman"/>
          <w:color w:val="auto"/>
          <w:sz w:val="32"/>
          <w:szCs w:val="32"/>
          <w:lang w:val="en-US" w:eastAsia="zh-CN"/>
        </w:rPr>
        <w:t>预拌混凝土</w:t>
      </w:r>
      <w:r>
        <w:rPr>
          <w:rFonts w:hint="default" w:ascii="Times New Roman" w:hAnsi="Times New Roman" w:eastAsia="方正仿宋_GBK" w:cs="Times New Roman"/>
          <w:color w:val="auto"/>
          <w:sz w:val="32"/>
          <w:szCs w:val="32"/>
          <w:lang w:eastAsia="zh-CN"/>
        </w:rPr>
        <w:t>”、“重大事故隐患专项排查整治行动”、“住宅工程质量问题重点整治</w:t>
      </w:r>
      <w:r>
        <w:rPr>
          <w:rFonts w:hint="default" w:ascii="Times New Roman" w:hAnsi="Times New Roman" w:eastAsia="方正仿宋_GBK" w:cs="Times New Roman"/>
          <w:color w:val="auto"/>
          <w:sz w:val="32"/>
          <w:szCs w:val="32"/>
          <w:lang w:val="en-US" w:eastAsia="zh-CN"/>
        </w:rPr>
        <w:t>行动</w:t>
      </w:r>
      <w:r>
        <w:rPr>
          <w:rFonts w:hint="default" w:ascii="Times New Roman" w:hAnsi="Times New Roman" w:eastAsia="方正仿宋_GBK" w:cs="Times New Roman"/>
          <w:color w:val="auto"/>
          <w:sz w:val="32"/>
          <w:szCs w:val="32"/>
          <w:lang w:eastAsia="zh-CN"/>
        </w:rPr>
        <w:t>”、“工程质量安全监管专项整治行动”</w:t>
      </w:r>
      <w:r>
        <w:rPr>
          <w:rFonts w:hint="default" w:ascii="Times New Roman" w:hAnsi="Times New Roman" w:eastAsia="方正仿宋_GBK" w:cs="Times New Roman"/>
          <w:color w:val="auto"/>
          <w:sz w:val="32"/>
          <w:szCs w:val="32"/>
        </w:rPr>
        <w:t>等一系列整治行动,对所监管的项目进行质量安全监督管理，</w:t>
      </w:r>
      <w:r>
        <w:rPr>
          <w:rFonts w:hint="default" w:ascii="Times New Roman" w:hAnsi="Times New Roman" w:eastAsia="方正仿宋_GBK" w:cs="Times New Roman"/>
          <w:color w:val="auto"/>
          <w:sz w:val="32"/>
          <w:szCs w:val="32"/>
          <w:highlight w:val="none"/>
        </w:rPr>
        <w:t>共检查项目</w:t>
      </w:r>
      <w:r>
        <w:rPr>
          <w:rFonts w:hint="default" w:ascii="Times New Roman" w:hAnsi="Times New Roman" w:eastAsia="方正仿宋_GBK" w:cs="Times New Roman"/>
          <w:color w:val="auto"/>
          <w:sz w:val="32"/>
          <w:szCs w:val="32"/>
          <w:highlight w:val="none"/>
          <w:lang w:val="en-US" w:eastAsia="zh-CN"/>
        </w:rPr>
        <w:t>25</w:t>
      </w:r>
      <w:r>
        <w:rPr>
          <w:rFonts w:hint="eastAsia"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共发现质量问题</w:t>
      </w:r>
      <w:r>
        <w:rPr>
          <w:rFonts w:hint="default" w:ascii="Times New Roman" w:hAnsi="Times New Roman" w:eastAsia="方正仿宋_GBK" w:cs="Times New Roman"/>
          <w:color w:val="auto"/>
          <w:sz w:val="32"/>
          <w:szCs w:val="32"/>
          <w:lang w:val="en-US" w:eastAsia="zh-CN"/>
        </w:rPr>
        <w:t>4</w:t>
      </w:r>
      <w:r>
        <w:rPr>
          <w:rFonts w:hint="eastAsia" w:ascii="Times New Roman" w:hAnsi="Times New Roman" w:eastAsia="方正仿宋_GBK" w:cs="Times New Roman"/>
          <w:color w:val="auto"/>
          <w:sz w:val="32"/>
          <w:szCs w:val="32"/>
          <w:lang w:val="en-US" w:eastAsia="zh-CN"/>
        </w:rPr>
        <w:t>85</w:t>
      </w:r>
      <w:r>
        <w:rPr>
          <w:rFonts w:hint="default" w:ascii="Times New Roman" w:hAnsi="Times New Roman" w:eastAsia="方正仿宋_GBK" w:cs="Times New Roman"/>
          <w:color w:val="auto"/>
          <w:sz w:val="32"/>
          <w:szCs w:val="32"/>
          <w:highlight w:val="none"/>
          <w:lang w:val="en-US" w:eastAsia="zh-CN"/>
        </w:rPr>
        <w:t>条，一般安全隐患59</w:t>
      </w: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条，重大事故隐患15条，下发安全限期整改通知书</w:t>
      </w:r>
      <w:r>
        <w:rPr>
          <w:rFonts w:hint="default" w:ascii="Times New Roman" w:hAnsi="Times New Roman" w:eastAsia="方正仿宋_GBK" w:cs="Times New Roman"/>
          <w:color w:val="auto"/>
          <w:sz w:val="32"/>
          <w:szCs w:val="32"/>
          <w:lang w:val="en-US" w:eastAsia="zh-CN"/>
        </w:rPr>
        <w:t>2</w:t>
      </w:r>
      <w:r>
        <w:rPr>
          <w:rFonts w:hint="eastAsia"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highlight w:val="none"/>
          <w:lang w:val="en-US" w:eastAsia="zh-CN"/>
        </w:rPr>
        <w:t>份，质量整改通知书7份，停工整改通知书3份。</w:t>
      </w:r>
      <w:r>
        <w:rPr>
          <w:rFonts w:hint="default" w:ascii="Times New Roman" w:hAnsi="Times New Roman" w:eastAsia="方正仿宋_GBK" w:cs="Times New Roman"/>
          <w:color w:val="auto"/>
          <w:sz w:val="32"/>
          <w:szCs w:val="32"/>
          <w:lang w:val="en-US" w:eastAsia="zh-CN"/>
        </w:rPr>
        <w:t>针对发现的问题，均建立了隐患台账，实行销号管理，并对整改情况及时进行跟踪复查，确保隐患闭环管理。</w:t>
      </w:r>
    </w:p>
    <w:p>
      <w:pPr>
        <w:keepNext w:val="0"/>
        <w:keepLines w:val="0"/>
        <w:pageBreakBefore w:val="0"/>
        <w:numPr>
          <w:ilvl w:val="0"/>
          <w:numId w:val="0"/>
        </w:numPr>
        <w:kinsoku/>
        <w:wordWrap/>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eastAsia="zh-CN"/>
        </w:rPr>
        <w:t>严格执法</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对未履行质量安全生产管理职责的企业和个人采取约谈、行政处罚的方式，督促企业和个人履行质量安全管理主体责任，累计约谈</w:t>
      </w:r>
      <w:r>
        <w:rPr>
          <w:rFonts w:hint="default" w:ascii="Times New Roman" w:hAnsi="Times New Roman" w:eastAsia="方正仿宋_GBK" w:cs="Times New Roman"/>
          <w:color w:val="auto"/>
          <w:sz w:val="32"/>
          <w:szCs w:val="32"/>
          <w:lang w:val="en-US" w:eastAsia="zh-CN"/>
        </w:rPr>
        <w:t>4家企业，行政处罚5起，其中“一案双罚”1起，累计罚款4.89万元。</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outlineLvl w:val="9"/>
        <w:rPr>
          <w:rFonts w:hint="default" w:ascii="Times New Roman" w:hAnsi="Times New Roman" w:eastAsia="方正仿宋_GBK" w:cs="Times New Roman"/>
          <w:color w:val="auto"/>
          <w:spacing w:val="20"/>
          <w:kern w:val="0"/>
          <w:sz w:val="32"/>
          <w:szCs w:val="32"/>
          <w:lang w:val="en-US" w:eastAsia="zh-CN" w:bidi="ar"/>
        </w:rPr>
      </w:pPr>
      <w:r>
        <w:rPr>
          <w:rFonts w:hint="default" w:ascii="Times New Roman" w:hAnsi="Times New Roman" w:eastAsia="方正仿宋_GBK" w:cs="Times New Roman"/>
          <w:bCs/>
          <w:color w:val="auto"/>
          <w:sz w:val="32"/>
          <w:szCs w:val="32"/>
          <w:lang w:val="en-US" w:eastAsia="zh-CN"/>
        </w:rPr>
        <w:t>4、</w:t>
      </w:r>
      <w:r>
        <w:rPr>
          <w:rFonts w:hint="default" w:ascii="Times New Roman" w:hAnsi="Times New Roman" w:eastAsia="方正仿宋_GBK" w:cs="Times New Roman"/>
          <w:bCs/>
          <w:color w:val="auto"/>
          <w:sz w:val="32"/>
          <w:szCs w:val="32"/>
        </w:rPr>
        <w:t>开展质量安全教育培训。</w:t>
      </w:r>
      <w:r>
        <w:rPr>
          <w:rFonts w:hint="default" w:ascii="Times New Roman" w:hAnsi="Times New Roman" w:eastAsia="方正仿宋_GBK" w:cs="Times New Roman"/>
          <w:bCs/>
          <w:color w:val="auto"/>
          <w:sz w:val="32"/>
          <w:szCs w:val="32"/>
          <w:lang w:val="en-US" w:eastAsia="zh-CN"/>
        </w:rPr>
        <w:t>今年以来</w:t>
      </w:r>
      <w:r>
        <w:rPr>
          <w:rFonts w:hint="default" w:ascii="Times New Roman" w:hAnsi="Times New Roman" w:eastAsia="方正仿宋_GBK" w:cs="Times New Roman"/>
          <w:color w:val="auto"/>
          <w:sz w:val="32"/>
          <w:szCs w:val="32"/>
        </w:rPr>
        <w:t>累计组织各项目施工、监理、建设单位教育培训</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次，培训人次达</w:t>
      </w:r>
      <w:r>
        <w:rPr>
          <w:rFonts w:hint="default" w:ascii="Times New Roman" w:hAnsi="Times New Roman" w:eastAsia="方正仿宋_GBK" w:cs="Times New Roman"/>
          <w:color w:val="auto"/>
          <w:sz w:val="32"/>
          <w:szCs w:val="32"/>
          <w:lang w:val="en-US" w:eastAsia="zh-CN"/>
        </w:rPr>
        <w:t>150</w:t>
      </w:r>
      <w:r>
        <w:rPr>
          <w:rFonts w:hint="default" w:ascii="Times New Roman" w:hAnsi="Times New Roman" w:eastAsia="方正仿宋_GBK" w:cs="Times New Roman"/>
          <w:color w:val="auto"/>
          <w:sz w:val="32"/>
          <w:szCs w:val="32"/>
        </w:rPr>
        <w:t>余人</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次,组织学习了</w:t>
      </w:r>
      <w:r>
        <w:rPr>
          <w:rFonts w:hint="default" w:ascii="Times New Roman" w:hAnsi="Times New Roman" w:eastAsia="方正仿宋_GBK" w:cs="Times New Roman"/>
          <w:color w:val="auto"/>
          <w:spacing w:val="20"/>
          <w:kern w:val="0"/>
          <w:sz w:val="32"/>
          <w:szCs w:val="32"/>
          <w:lang w:val="en-US" w:eastAsia="zh-CN" w:bidi="ar"/>
        </w:rPr>
        <w:t>习近平总书记关于安全生产重要论述和重要指示批示精神、《房屋市政工程生产安全重大事故隐患判定标准（2024版）》</w:t>
      </w:r>
      <w:r>
        <w:rPr>
          <w:rFonts w:hint="default" w:ascii="Times New Roman" w:hAnsi="Times New Roman" w:eastAsia="方正仿宋_GBK" w:cs="Times New Roman"/>
          <w:color w:val="auto"/>
          <w:sz w:val="32"/>
          <w:szCs w:val="32"/>
          <w:lang w:val="en-US" w:eastAsia="zh-CN"/>
        </w:rPr>
        <w:t>《住宅项目规范》</w:t>
      </w:r>
      <w:r>
        <w:rPr>
          <w:rFonts w:hint="default" w:ascii="Times New Roman" w:hAnsi="Times New Roman" w:eastAsia="方正仿宋_GBK" w:cs="Times New Roman"/>
          <w:color w:val="auto"/>
          <w:spacing w:val="20"/>
          <w:kern w:val="0"/>
          <w:sz w:val="32"/>
          <w:szCs w:val="32"/>
          <w:lang w:val="en-US" w:eastAsia="zh-CN" w:bidi="ar"/>
        </w:rPr>
        <w:t>等内容，同时观看“安全生产月”活动主题片、事故警示教育片等，并发放《房屋市政工程现场施工安全画册》150余份。</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720" w:firstLineChars="200"/>
        <w:jc w:val="both"/>
        <w:textAlignment w:val="auto"/>
        <w:outlineLvl w:val="9"/>
        <w:rPr>
          <w:rFonts w:hint="default" w:ascii="Times New Roman" w:hAnsi="Times New Roman" w:eastAsia="方正仿宋_GBK" w:cs="Times New Roman"/>
          <w:color w:val="auto"/>
          <w:spacing w:val="20"/>
          <w:kern w:val="0"/>
          <w:sz w:val="32"/>
          <w:szCs w:val="32"/>
          <w:lang w:val="en-US" w:eastAsia="zh-CN" w:bidi="ar"/>
        </w:rPr>
      </w:pPr>
      <w:r>
        <w:rPr>
          <w:rFonts w:hint="default" w:ascii="Times New Roman" w:hAnsi="Times New Roman" w:eastAsia="方正仿宋_GBK" w:cs="Times New Roman"/>
          <w:color w:val="auto"/>
          <w:spacing w:val="20"/>
          <w:kern w:val="0"/>
          <w:sz w:val="32"/>
          <w:szCs w:val="32"/>
          <w:lang w:val="en-US" w:eastAsia="zh-CN" w:bidi="ar"/>
        </w:rPr>
        <w:t>5、开展监督抽测。</w:t>
      </w:r>
      <w:r>
        <w:rPr>
          <w:rFonts w:hint="default" w:ascii="Times New Roman" w:hAnsi="Times New Roman" w:eastAsia="方正仿宋_GBK" w:cs="Times New Roman"/>
          <w:color w:val="auto"/>
          <w:sz w:val="32"/>
          <w:szCs w:val="32"/>
        </w:rPr>
        <w:t>为加强建设工程质量监督管理，规范质量监督抽测行为，科学、公正、有效地评价工程实体质量和主要建筑材料、构配件质量，及时发现和消除质量隐患，保障工程结构安全和使用功能</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制定了《华宁县房屋建筑和市政基础设施工程质量监督抽测实施方案》，并按照方案开展3个项目的监督实体抽测工作。</w:t>
      </w:r>
    </w:p>
    <w:p>
      <w:pPr>
        <w:keepNext w:val="0"/>
        <w:keepLines w:val="0"/>
        <w:pageBreakBefore w:val="0"/>
        <w:numPr>
          <w:ilvl w:val="0"/>
          <w:numId w:val="0"/>
        </w:numPr>
        <w:kinsoku/>
        <w:wordWrap/>
        <w:overflowPunct/>
        <w:topLinePunct w:val="0"/>
        <w:autoSpaceDE/>
        <w:autoSpaceDN/>
        <w:bidi w:val="0"/>
        <w:adjustRightInd/>
        <w:snapToGrid/>
        <w:spacing w:line="590" w:lineRule="exact"/>
        <w:ind w:left="0" w:leftChars="0" w:right="0" w:rightChars="0" w:firstLine="72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方正楷体_GBK" w:cs="Times New Roman"/>
          <w:color w:val="auto"/>
          <w:spacing w:val="20"/>
          <w:kern w:val="0"/>
          <w:sz w:val="32"/>
          <w:szCs w:val="32"/>
          <w:lang w:val="en-US" w:eastAsia="zh-CN" w:bidi="ar"/>
        </w:rPr>
        <w:t>（四）落实县委30项重点工作情况。</w:t>
      </w:r>
      <w:r>
        <w:rPr>
          <w:rFonts w:hint="default" w:ascii="Times New Roman" w:hAnsi="Times New Roman" w:eastAsia="方正仿宋_GBK" w:cs="Times New Roman"/>
          <w:color w:val="auto"/>
          <w:spacing w:val="20"/>
          <w:kern w:val="0"/>
          <w:sz w:val="32"/>
          <w:szCs w:val="32"/>
          <w:lang w:val="en-US" w:eastAsia="zh-CN" w:bidi="ar"/>
        </w:rPr>
        <w:t>华宁县质安监站涉及</w:t>
      </w:r>
      <w:r>
        <w:rPr>
          <w:rFonts w:hint="default" w:ascii="Times New Roman" w:hAnsi="Times New Roman" w:eastAsia="方正仿宋_GBK" w:cs="Times New Roman"/>
          <w:color w:val="auto"/>
          <w:sz w:val="32"/>
          <w:szCs w:val="32"/>
          <w:lang w:eastAsia="zh-CN"/>
        </w:rPr>
        <w:t>建筑工地扬尘治理。</w:t>
      </w:r>
      <w:r>
        <w:rPr>
          <w:rFonts w:hint="default" w:ascii="Times New Roman" w:hAnsi="Times New Roman" w:eastAsia="方正仿宋_GBK" w:cs="Times New Roman"/>
          <w:color w:val="auto"/>
          <w:sz w:val="32"/>
          <w:szCs w:val="32"/>
          <w:lang w:val="en-US" w:eastAsia="zh-CN"/>
        </w:rPr>
        <w:t>今年以来，</w:t>
      </w:r>
      <w:r>
        <w:rPr>
          <w:rFonts w:hint="default" w:ascii="Times New Roman" w:hAnsi="Times New Roman" w:eastAsia="方正仿宋_GBK" w:cs="Times New Roman"/>
          <w:color w:val="auto"/>
          <w:sz w:val="32"/>
          <w:szCs w:val="32"/>
          <w:lang w:eastAsia="zh-CN"/>
        </w:rPr>
        <w:t>编制印发了《华宁县房屋市政工程建筑施工扬尘治理攻坚“百日行动”方案》《华宁县房屋建筑和市政工程建筑施工扬尘污染治理攻坚三年行动计划（2023 — 2025年）》，</w:t>
      </w:r>
      <w:r>
        <w:rPr>
          <w:rFonts w:hint="default" w:ascii="Times New Roman" w:hAnsi="Times New Roman" w:eastAsia="方正仿宋_GBK" w:cs="Times New Roman"/>
          <w:color w:val="auto"/>
          <w:sz w:val="32"/>
          <w:szCs w:val="32"/>
        </w:rPr>
        <w:t>建立</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源头严防、过程严管、后果严惩</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的监管体系。通过召开专题部署会</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现场督导检查</w:t>
      </w:r>
      <w:r>
        <w:rPr>
          <w:rFonts w:hint="default" w:ascii="Times New Roman" w:hAnsi="Times New Roman" w:eastAsia="方正仿宋_GBK" w:cs="Times New Roman"/>
          <w:color w:val="auto"/>
          <w:sz w:val="32"/>
          <w:szCs w:val="32"/>
        </w:rPr>
        <w:t>等方式，层层压实企业主体责任，确保</w:t>
      </w:r>
      <w:r>
        <w:rPr>
          <w:rFonts w:hint="default" w:ascii="Times New Roman" w:hAnsi="Times New Roman" w:eastAsia="方正仿宋_GBK" w:cs="Times New Roman"/>
          <w:color w:val="auto"/>
          <w:sz w:val="32"/>
          <w:szCs w:val="32"/>
          <w:lang w:eastAsia="zh-CN"/>
        </w:rPr>
        <w:t>“六个百分百”等</w:t>
      </w:r>
      <w:r>
        <w:rPr>
          <w:rFonts w:hint="default" w:ascii="Times New Roman" w:hAnsi="Times New Roman" w:eastAsia="方正仿宋_GBK" w:cs="Times New Roman"/>
          <w:color w:val="auto"/>
          <w:sz w:val="32"/>
          <w:szCs w:val="32"/>
        </w:rPr>
        <w:t>各项防治措施落实到位</w:t>
      </w:r>
      <w:r>
        <w:rPr>
          <w:rFonts w:hint="default" w:ascii="Times New Roman" w:hAnsi="Times New Roman" w:eastAsia="方正仿宋_GBK" w:cs="Times New Roman"/>
          <w:color w:val="auto"/>
          <w:sz w:val="32"/>
          <w:szCs w:val="32"/>
          <w:lang w:eastAsia="zh-CN"/>
        </w:rPr>
        <w:t>。开展建筑工地扬尘治理检查，质安站各监督组对建成区内在建项目进行了检查，共检查项目</w:t>
      </w:r>
      <w:r>
        <w:rPr>
          <w:rFonts w:hint="default" w:ascii="Times New Roman" w:hAnsi="Times New Roman" w:eastAsia="方正仿宋_GBK" w:cs="Times New Roman"/>
          <w:color w:val="auto"/>
          <w:sz w:val="32"/>
          <w:szCs w:val="32"/>
          <w:lang w:val="en-US" w:eastAsia="zh-CN"/>
        </w:rPr>
        <w:t>82</w:t>
      </w:r>
      <w:r>
        <w:rPr>
          <w:rFonts w:hint="default" w:ascii="Times New Roman" w:hAnsi="Times New Roman" w:eastAsia="方正仿宋_GBK" w:cs="Times New Roman"/>
          <w:color w:val="auto"/>
          <w:sz w:val="32"/>
          <w:szCs w:val="32"/>
          <w:lang w:eastAsia="zh-CN"/>
        </w:rPr>
        <w:t>次，出动检查人次</w:t>
      </w:r>
      <w:r>
        <w:rPr>
          <w:rFonts w:hint="default" w:ascii="Times New Roman" w:hAnsi="Times New Roman" w:eastAsia="方正仿宋_GBK" w:cs="Times New Roman"/>
          <w:color w:val="auto"/>
          <w:sz w:val="32"/>
          <w:szCs w:val="32"/>
          <w:lang w:val="en-US" w:eastAsia="zh-CN"/>
        </w:rPr>
        <w:t>168</w:t>
      </w:r>
      <w:r>
        <w:rPr>
          <w:rFonts w:hint="default" w:ascii="Times New Roman" w:hAnsi="Times New Roman" w:eastAsia="方正仿宋_GBK" w:cs="Times New Roman"/>
          <w:color w:val="auto"/>
          <w:sz w:val="32"/>
          <w:szCs w:val="32"/>
          <w:lang w:eastAsia="zh-CN"/>
        </w:rPr>
        <w:t>人次，查出问题</w:t>
      </w:r>
      <w:r>
        <w:rPr>
          <w:rFonts w:hint="default" w:ascii="Times New Roman" w:hAnsi="Times New Roman" w:eastAsia="方正仿宋_GBK" w:cs="Times New Roman"/>
          <w:color w:val="auto"/>
          <w:sz w:val="32"/>
          <w:szCs w:val="32"/>
          <w:lang w:val="en-US" w:eastAsia="zh-CN"/>
        </w:rPr>
        <w:t>58</w:t>
      </w:r>
      <w:r>
        <w:rPr>
          <w:rFonts w:hint="default" w:ascii="Times New Roman" w:hAnsi="Times New Roman" w:eastAsia="方正仿宋_GBK" w:cs="Times New Roman"/>
          <w:color w:val="auto"/>
          <w:sz w:val="32"/>
          <w:szCs w:val="32"/>
          <w:lang w:eastAsia="zh-CN"/>
        </w:rPr>
        <w:t>条，问题已督促责任单位整改落实到位。</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right="0" w:rightChars="0" w:firstLine="640" w:firstLineChars="200"/>
        <w:jc w:val="left"/>
        <w:textAlignment w:val="auto"/>
        <w:outlineLvl w:val="9"/>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楷体_GBK" w:cs="Times New Roman"/>
          <w:color w:val="auto"/>
          <w:sz w:val="32"/>
          <w:szCs w:val="32"/>
          <w:lang w:eastAsia="zh-CN"/>
        </w:rPr>
        <w:t>（五）办理建筑起重机械备案。</w:t>
      </w:r>
      <w:r>
        <w:rPr>
          <w:rFonts w:hint="default" w:ascii="Times New Roman" w:hAnsi="Times New Roman" w:eastAsia="方正仿宋_GBK" w:cs="Times New Roman"/>
          <w:color w:val="auto"/>
          <w:kern w:val="0"/>
          <w:sz w:val="32"/>
          <w:szCs w:val="32"/>
          <w:lang w:val="en-US" w:eastAsia="zh-CN" w:bidi="ar"/>
        </w:rPr>
        <w:t>严格执行起重机械使用登记证书电子证照工作，利用云南省建筑市场监管与诚信一体化平台-质量安全管理系统，实现建筑起重机械备案、检测、验收、使用登记、安装拆卸告知全流程数字化监管。今年累计办理起重机械安装告知20台，使用登记20台，全部纳入“一体化平台”管理。</w:t>
      </w:r>
    </w:p>
    <w:p>
      <w:pPr>
        <w:spacing w:line="600" w:lineRule="exact"/>
        <w:ind w:firstLine="600" w:firstLineChars="200"/>
        <w:jc w:val="left"/>
        <w:rPr>
          <w:rFonts w:hint="eastAsia" w:ascii="仿宋_GB2312" w:hAnsi="宋体" w:eastAsia="仿宋_GB2312" w:cs="Arial"/>
          <w:kern w:val="0"/>
          <w:sz w:val="30"/>
          <w:szCs w:val="30"/>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pStyle w:val="9"/>
        <w:spacing w:before="0" w:after="0" w:line="590" w:lineRule="atLeast"/>
        <w:ind w:left="0" w:right="0" w:firstLine="600"/>
        <w:jc w:val="both"/>
        <w:rPr>
          <w:rFonts w:hint="eastAsia" w:ascii="Times New Roman" w:hAnsi="Times New Roman" w:eastAsia="仿宋_GB2312" w:cs="Times New Roman"/>
          <w:color w:val="000000"/>
          <w:sz w:val="30"/>
          <w:szCs w:val="30"/>
          <w:lang w:eastAsia="zh-CN"/>
        </w:rPr>
      </w:pPr>
      <w:r>
        <w:rPr>
          <w:rFonts w:hint="default" w:ascii="Times New Roman" w:hAnsi="Times New Roman" w:eastAsia="仿宋_GB2312" w:cs="Times New Roman"/>
          <w:color w:val="000000"/>
          <w:sz w:val="30"/>
          <w:szCs w:val="30"/>
        </w:rPr>
        <w:t>华宁县建设工程质量监督管理站没有</w:t>
      </w:r>
      <w:r>
        <w:rPr>
          <w:rFonts w:hint="eastAsia" w:ascii="Times New Roman" w:hAnsi="Times New Roman" w:eastAsia="仿宋_GB2312" w:cs="Times New Roman"/>
          <w:color w:val="000000"/>
          <w:sz w:val="30"/>
          <w:szCs w:val="30"/>
          <w:lang w:eastAsia="zh-CN"/>
        </w:rPr>
        <w:t>一般公共预算财政拨款项目</w:t>
      </w:r>
      <w:r>
        <w:rPr>
          <w:rFonts w:hint="default" w:ascii="Times New Roman" w:hAnsi="Times New Roman" w:eastAsia="仿宋_GB2312" w:cs="Times New Roman"/>
          <w:color w:val="000000"/>
          <w:sz w:val="30"/>
          <w:szCs w:val="30"/>
        </w:rPr>
        <w:t>收入，也没有使用</w:t>
      </w:r>
      <w:r>
        <w:rPr>
          <w:rFonts w:hint="eastAsia" w:ascii="Times New Roman" w:hAnsi="Times New Roman" w:eastAsia="仿宋_GB2312" w:cs="Times New Roman"/>
          <w:color w:val="000000"/>
          <w:sz w:val="30"/>
          <w:szCs w:val="30"/>
          <w:lang w:eastAsia="zh-CN"/>
        </w:rPr>
        <w:t>一般公共预算财政拨款项目</w:t>
      </w:r>
      <w:r>
        <w:rPr>
          <w:rFonts w:hint="default" w:ascii="Times New Roman" w:hAnsi="Times New Roman" w:eastAsia="仿宋_GB2312" w:cs="Times New Roman"/>
          <w:color w:val="000000"/>
          <w:sz w:val="30"/>
          <w:szCs w:val="30"/>
        </w:rPr>
        <w:t>安排的支出，故</w:t>
      </w:r>
      <w:r>
        <w:rPr>
          <w:rFonts w:hint="default" w:ascii="Times New Roman" w:hAnsi="Times New Roman" w:eastAsia="仿宋_GB2312" w:cs="Times New Roman"/>
          <w:sz w:val="30"/>
          <w:szCs w:val="30"/>
        </w:rPr>
        <w:t>《</w:t>
      </w:r>
      <w:r>
        <w:rPr>
          <w:rFonts w:hint="eastAsia" w:ascii="Times New Roman" w:hAnsi="Times New Roman" w:eastAsia="仿宋_GB2312" w:cs="Times New Roman"/>
          <w:color w:val="000000"/>
          <w:sz w:val="30"/>
          <w:szCs w:val="30"/>
          <w:lang w:eastAsia="zh-CN"/>
        </w:rPr>
        <w:t>一般公共预算财政拨款项目支出决算表</w:t>
      </w:r>
      <w:r>
        <w:rPr>
          <w:rFonts w:hint="default" w:ascii="Times New Roman" w:hAnsi="Times New Roman" w:eastAsia="仿宋_GB2312" w:cs="Times New Roman"/>
          <w:sz w:val="30"/>
          <w:szCs w:val="30"/>
        </w:rPr>
        <w:t>》</w:t>
      </w:r>
      <w:r>
        <w:rPr>
          <w:rFonts w:hint="default" w:ascii="Times New Roman" w:hAnsi="Times New Roman" w:eastAsia="仿宋_GB2312" w:cs="Times New Roman"/>
          <w:color w:val="000000"/>
          <w:sz w:val="30"/>
          <w:szCs w:val="30"/>
        </w:rPr>
        <w:t>为空表。</w:t>
      </w:r>
    </w:p>
    <w:p>
      <w:pPr>
        <w:pStyle w:val="9"/>
        <w:spacing w:before="0" w:after="0" w:line="590" w:lineRule="atLeast"/>
        <w:ind w:left="0" w:right="0" w:firstLine="600"/>
        <w:jc w:val="both"/>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华宁县建设工程质量监督管理站没有政府性基金收入，也没有使用政府性基金安排的支出，故</w:t>
      </w:r>
      <w:r>
        <w:rPr>
          <w:rFonts w:hint="default" w:ascii="Times New Roman" w:hAnsi="Times New Roman" w:eastAsia="仿宋_GB2312" w:cs="Times New Roman"/>
          <w:sz w:val="30"/>
          <w:szCs w:val="30"/>
        </w:rPr>
        <w:t>《</w:t>
      </w:r>
      <w:r>
        <w:rPr>
          <w:rFonts w:hint="default" w:ascii="Times New Roman" w:hAnsi="Times New Roman" w:eastAsia="仿宋_GB2312" w:cs="Times New Roman"/>
          <w:color w:val="000000"/>
          <w:sz w:val="30"/>
          <w:szCs w:val="30"/>
        </w:rPr>
        <w:t>政府性基金预算财政拨款收入支出决算表</w:t>
      </w:r>
      <w:r>
        <w:rPr>
          <w:rFonts w:hint="default" w:ascii="Times New Roman" w:hAnsi="Times New Roman" w:eastAsia="仿宋_GB2312" w:cs="Times New Roman"/>
          <w:sz w:val="30"/>
          <w:szCs w:val="30"/>
        </w:rPr>
        <w:t>》</w:t>
      </w:r>
      <w:r>
        <w:rPr>
          <w:rFonts w:hint="default" w:ascii="Times New Roman" w:hAnsi="Times New Roman" w:eastAsia="仿宋_GB2312" w:cs="Times New Roman"/>
          <w:color w:val="000000"/>
          <w:sz w:val="30"/>
          <w:szCs w:val="30"/>
        </w:rPr>
        <w:t>为空表。</w:t>
      </w:r>
    </w:p>
    <w:p>
      <w:pPr>
        <w:pStyle w:val="9"/>
        <w:spacing w:before="0" w:after="0" w:line="590" w:lineRule="atLeast"/>
        <w:ind w:left="0" w:right="0" w:firstLine="600"/>
        <w:jc w:val="both"/>
        <w:rPr>
          <w:rFonts w:hint="default" w:ascii="Times New Roman" w:hAnsi="Times New Roman" w:eastAsia="仿宋_GB2312" w:cs="Times New Roman"/>
          <w:sz w:val="30"/>
          <w:szCs w:val="30"/>
        </w:rPr>
      </w:pPr>
      <w:r>
        <w:rPr>
          <w:rFonts w:hint="default" w:ascii="Times New Roman" w:hAnsi="Times New Roman" w:eastAsia="仿宋_GB2312" w:cs="Times New Roman"/>
          <w:color w:val="000000"/>
          <w:sz w:val="30"/>
          <w:szCs w:val="30"/>
        </w:rPr>
        <w:t>华宁县建设工程质量监督管理站没有国有资本经营收入，也没有使用国有资本经营安排的支出，故</w:t>
      </w:r>
      <w:r>
        <w:rPr>
          <w:rFonts w:hint="default" w:ascii="Times New Roman" w:hAnsi="Times New Roman" w:eastAsia="仿宋_GB2312" w:cs="Times New Roman"/>
          <w:sz w:val="30"/>
          <w:szCs w:val="30"/>
        </w:rPr>
        <w:t>《</w:t>
      </w:r>
      <w:r>
        <w:rPr>
          <w:rFonts w:hint="default" w:ascii="Times New Roman" w:hAnsi="Times New Roman" w:eastAsia="仿宋_GB2312" w:cs="Times New Roman"/>
          <w:color w:val="000000"/>
          <w:sz w:val="30"/>
          <w:szCs w:val="30"/>
        </w:rPr>
        <w:t>国有资本经营预算财政拨款收入支出决算表</w:t>
      </w:r>
      <w:r>
        <w:rPr>
          <w:rFonts w:hint="default" w:ascii="Times New Roman" w:hAnsi="Times New Roman" w:eastAsia="仿宋_GB2312" w:cs="Times New Roman"/>
          <w:sz w:val="30"/>
          <w:szCs w:val="30"/>
        </w:rPr>
        <w:t>》</w:t>
      </w:r>
      <w:r>
        <w:rPr>
          <w:rFonts w:hint="default" w:ascii="Times New Roman" w:hAnsi="Times New Roman" w:eastAsia="仿宋_GB2312" w:cs="Times New Roman"/>
          <w:color w:val="000000"/>
          <w:sz w:val="30"/>
          <w:szCs w:val="30"/>
        </w:rPr>
        <w:t>为空表。</w:t>
      </w:r>
    </w:p>
    <w:p>
      <w:pPr>
        <w:spacing w:line="600" w:lineRule="exact"/>
        <w:ind w:firstLine="600" w:firstLineChars="200"/>
        <w:jc w:val="left"/>
        <w:rPr>
          <w:rFonts w:hint="eastAsia" w:ascii="仿宋_GB2312" w:eastAsia="仿宋_GB2312"/>
          <w:sz w:val="30"/>
          <w:szCs w:val="30"/>
          <w:highlight w:val="none"/>
          <w:lang w:eastAsia="zh-CN"/>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华宁县建设工程质量监督管理站</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2694890.85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2694890.85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100.00</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p>
    <w:p>
      <w:pPr>
        <w:snapToGrid w:val="0"/>
        <w:spacing w:line="520" w:lineRule="exact"/>
        <w:ind w:firstLine="64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700858.99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35.15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700858.99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35.15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；无事业收入；无经营收入；无附属单位上缴收入；无其他收入。</w:t>
      </w:r>
    </w:p>
    <w:p>
      <w:pPr>
        <w:snapToGrid w:val="0"/>
        <w:spacing w:line="520" w:lineRule="exact"/>
        <w:ind w:firstLine="64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lang w:eastAsia="zh-CN"/>
        </w:rPr>
        <w:t>：</w:t>
      </w:r>
      <w:r>
        <w:rPr>
          <w:rFonts w:hint="eastAsia" w:ascii="方正仿宋_GBK" w:hAnsi="方正仿宋_GBK" w:eastAsia="方正仿宋_GBK" w:cs="方正仿宋_GBK"/>
          <w:color w:val="000000"/>
          <w:sz w:val="32"/>
          <w:szCs w:val="32"/>
          <w:lang w:val="en-US" w:eastAsia="zh-CN"/>
        </w:rPr>
        <w:t>2024年8月机构改革，监察大队7人分流到我单位，2025年预算增加7人工资、五险一金、人员岗位变动以及调整2024年7-2025年1月岗位工资。</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华宁县建设工程质量监督管理站</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2694890.85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2694890.85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100.00</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700858.99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35.15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700858.99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35.15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；无项目支出；无上缴上级支出；无经营支出；无对附属单位补助支出。</w:t>
      </w:r>
    </w:p>
    <w:p>
      <w:pPr>
        <w:snapToGrid w:val="0"/>
        <w:spacing w:line="520" w:lineRule="exact"/>
        <w:ind w:firstLine="640" w:firstLineChars="200"/>
        <w:rPr>
          <w:rFonts w:hint="eastAsia" w:ascii="仿宋_GB2312" w:hAnsi="仿宋_GB2312" w:eastAsia="仿宋_GB2312" w:cs="仿宋_GB2312"/>
          <w:color w:val="FF0000"/>
          <w:sz w:val="30"/>
          <w:szCs w:val="30"/>
          <w:highlight w:val="none"/>
        </w:rPr>
      </w:pP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方正仿宋_GBK" w:hAnsi="方正仿宋_GBK" w:eastAsia="方正仿宋_GBK" w:cs="方正仿宋_GBK"/>
          <w:color w:val="000000"/>
          <w:sz w:val="32"/>
          <w:szCs w:val="32"/>
          <w:lang w:val="en-US" w:eastAsia="zh-CN"/>
        </w:rPr>
        <w:t>2024年8月机构改革，监察大队7人分流到我</w:t>
      </w:r>
      <w:r>
        <w:rPr>
          <w:rFonts w:hint="eastAsia" w:ascii="仿宋_GB2312" w:hAnsi="仿宋_GB2312" w:eastAsia="仿宋_GB2312" w:cs="仿宋_GB2312"/>
          <w:color w:val="000000"/>
          <w:sz w:val="30"/>
          <w:szCs w:val="30"/>
          <w:lang w:val="en-US" w:eastAsia="zh-CN"/>
        </w:rPr>
        <w:t>单位，2025年支出增加7人工资、五险一金支出、部分人员岗位变动以及调整事业人员2024年7-2025年1月岗位工资。</w:t>
      </w:r>
    </w:p>
    <w:p>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snapToGrid w:val="0"/>
        <w:spacing w:line="520" w:lineRule="exact"/>
        <w:ind w:firstLine="64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lang w:eastAsia="zh-CN"/>
        </w:rPr>
        <w:t>用于保障</w:t>
      </w:r>
      <w:r>
        <w:rPr>
          <w:rFonts w:hint="eastAsia" w:ascii="仿宋_GB2312" w:eastAsia="仿宋_GB2312"/>
          <w:sz w:val="30"/>
          <w:szCs w:val="30"/>
          <w:highlight w:val="none"/>
          <w:lang w:val="zh-CN" w:eastAsia="zh-CN"/>
        </w:rPr>
        <w:t>华宁县建设工程质量监督管理站</w:t>
      </w:r>
      <w:r>
        <w:rPr>
          <w:rFonts w:hint="eastAsia" w:ascii="仿宋_GB2312" w:eastAsia="仿宋_GB2312"/>
          <w:sz w:val="30"/>
          <w:szCs w:val="30"/>
          <w:highlight w:val="none"/>
          <w:lang w:eastAsia="zh-CN"/>
        </w:rPr>
        <w:t>机构正常运转的日常支出</w:t>
      </w:r>
      <w:r>
        <w:rPr>
          <w:rFonts w:hint="eastAsia" w:ascii="仿宋_GB2312" w:eastAsia="仿宋_GB2312"/>
          <w:sz w:val="30"/>
          <w:szCs w:val="30"/>
          <w:highlight w:val="none"/>
          <w:lang w:val="zh-CN" w:eastAsia="zh-CN"/>
        </w:rPr>
        <w:t>2694890.85</w:t>
      </w:r>
      <w:r>
        <w:rPr>
          <w:rFonts w:hint="eastAsia" w:ascii="仿宋_GB2312" w:eastAsia="仿宋_GB2312"/>
          <w:sz w:val="30"/>
          <w:szCs w:val="30"/>
          <w:highlight w:val="none"/>
          <w:lang w:eastAsia="zh-CN"/>
        </w:rPr>
        <w:t>元。其中：基本工资、津贴补贴等人员经费支出</w:t>
      </w:r>
      <w:r>
        <w:rPr>
          <w:rFonts w:hint="eastAsia" w:ascii="仿宋_GB2312" w:eastAsia="仿宋_GB2312"/>
          <w:sz w:val="30"/>
          <w:szCs w:val="30"/>
          <w:highlight w:val="none"/>
          <w:lang w:val="zh-CN" w:eastAsia="zh-CN"/>
        </w:rPr>
        <w:t>2660244.25</w:t>
      </w:r>
      <w:r>
        <w:rPr>
          <w:rFonts w:hint="eastAsia" w:ascii="仿宋_GB2312" w:eastAsia="仿宋_GB2312"/>
          <w:sz w:val="30"/>
          <w:szCs w:val="30"/>
          <w:highlight w:val="none"/>
          <w:lang w:eastAsia="zh-CN"/>
        </w:rPr>
        <w:t>元，占基本支出的</w:t>
      </w:r>
      <w:r>
        <w:rPr>
          <w:rFonts w:hint="eastAsia" w:ascii="仿宋_GB2312" w:eastAsia="仿宋_GB2312"/>
          <w:sz w:val="30"/>
          <w:szCs w:val="30"/>
          <w:highlight w:val="none"/>
          <w:lang w:val="zh-CN" w:eastAsia="zh-CN"/>
        </w:rPr>
        <w:t>98.71</w:t>
      </w:r>
      <w:r>
        <w:rPr>
          <w:rFonts w:hint="eastAsia" w:ascii="仿宋_GB2312" w:eastAsia="仿宋_GB2312"/>
          <w:sz w:val="30"/>
          <w:szCs w:val="30"/>
          <w:highlight w:val="none"/>
          <w:lang w:eastAsia="zh-CN"/>
        </w:rPr>
        <w:t>％；办公费、印刷费、水电费、办公设备购置等公用经费</w:t>
      </w:r>
      <w:r>
        <w:rPr>
          <w:rFonts w:hint="eastAsia" w:ascii="仿宋_GB2312" w:eastAsia="仿宋_GB2312"/>
          <w:sz w:val="30"/>
          <w:szCs w:val="30"/>
          <w:highlight w:val="none"/>
          <w:lang w:val="zh-CN" w:eastAsia="zh-CN"/>
        </w:rPr>
        <w:t>34646.60</w:t>
      </w:r>
      <w:r>
        <w:rPr>
          <w:rFonts w:hint="eastAsia" w:ascii="仿宋_GB2312" w:eastAsia="仿宋_GB2312"/>
          <w:sz w:val="30"/>
          <w:szCs w:val="30"/>
          <w:highlight w:val="none"/>
          <w:lang w:eastAsia="zh-CN"/>
        </w:rPr>
        <w:t>元，占基本支出的</w:t>
      </w:r>
      <w:r>
        <w:rPr>
          <w:rFonts w:hint="eastAsia" w:ascii="仿宋_GB2312" w:eastAsia="仿宋_GB2312"/>
          <w:sz w:val="30"/>
          <w:szCs w:val="30"/>
          <w:highlight w:val="none"/>
          <w:lang w:val="zh-CN" w:eastAsia="zh-CN"/>
        </w:rPr>
        <w:t>1.29</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 xml:space="preserve">          </w:t>
      </w:r>
    </w:p>
    <w:p>
      <w:pPr>
        <w:snapToGrid w:val="0"/>
        <w:spacing w:line="520" w:lineRule="exact"/>
        <w:ind w:firstLine="640" w:firstLineChars="200"/>
        <w:rPr>
          <w:rFonts w:hint="eastAsia" w:ascii="仿宋_GB2312" w:hAnsi="仿宋_GB2312" w:eastAsia="仿宋_GB2312" w:cs="仿宋_GB2312"/>
          <w:color w:val="FF0000"/>
          <w:sz w:val="30"/>
          <w:szCs w:val="30"/>
          <w:highlight w:val="none"/>
        </w:rPr>
      </w:pPr>
      <w:r>
        <w:rPr>
          <w:rFonts w:hint="eastAsia" w:ascii="仿宋_GB2312" w:eastAsia="仿宋_GB2312"/>
          <w:sz w:val="30"/>
          <w:szCs w:val="30"/>
          <w:highlight w:val="none"/>
          <w:lang w:eastAsia="zh-CN"/>
        </w:rPr>
        <w:t>主要用于</w:t>
      </w:r>
      <w:r>
        <w:rPr>
          <w:rFonts w:hint="default" w:ascii="仿宋_GB2312" w:eastAsia="仿宋_GB2312"/>
          <w:sz w:val="30"/>
          <w:szCs w:val="30"/>
          <w:highlight w:val="none"/>
          <w:lang w:eastAsia="zh-CN"/>
        </w:rPr>
        <w:t>202</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lang w:eastAsia="zh-CN"/>
        </w:rPr>
        <w:t>年基本工资、津贴补贴等人员经费支出</w:t>
      </w:r>
      <w:r>
        <w:rPr>
          <w:rFonts w:hint="eastAsia" w:ascii="仿宋_GB2312" w:eastAsia="仿宋_GB2312"/>
          <w:sz w:val="30"/>
          <w:szCs w:val="30"/>
          <w:highlight w:val="none"/>
          <w:lang w:val="en-US" w:eastAsia="zh-CN"/>
        </w:rPr>
        <w:t>2660244.25</w:t>
      </w:r>
      <w:r>
        <w:rPr>
          <w:rFonts w:hint="eastAsia" w:ascii="仿宋_GB2312" w:eastAsia="仿宋_GB2312"/>
          <w:sz w:val="30"/>
          <w:szCs w:val="30"/>
          <w:highlight w:val="none"/>
          <w:lang w:eastAsia="zh-CN"/>
        </w:rPr>
        <w:t>元，占基本支出的</w:t>
      </w:r>
      <w:r>
        <w:rPr>
          <w:rFonts w:hint="eastAsia" w:ascii="仿宋_GB2312" w:eastAsia="仿宋_GB2312"/>
          <w:sz w:val="30"/>
          <w:szCs w:val="30"/>
          <w:highlight w:val="none"/>
          <w:lang w:val="en-US" w:eastAsia="zh-CN"/>
        </w:rPr>
        <w:t>98.71</w:t>
      </w:r>
      <w:r>
        <w:rPr>
          <w:rFonts w:hint="eastAsia" w:ascii="仿宋_GB2312" w:eastAsia="仿宋_GB2312"/>
          <w:sz w:val="30"/>
          <w:szCs w:val="30"/>
          <w:highlight w:val="none"/>
          <w:lang w:eastAsia="zh-CN"/>
        </w:rPr>
        <w:t>%。主要包括基本工资、津贴补贴、奖金、养老保险费、绩效工资、其他工资福利支出、医疗保险费、住房公积金。</w:t>
      </w:r>
      <w:r>
        <w:rPr>
          <w:rFonts w:hint="eastAsia" w:ascii="仿宋_GB2312" w:eastAsia="仿宋_GB2312"/>
          <w:sz w:val="30"/>
          <w:szCs w:val="30"/>
          <w:highlight w:val="none"/>
          <w:lang w:val="en-US" w:eastAsia="zh-CN"/>
        </w:rPr>
        <w:t>公用经费34646.60元，占基本支出的1.29%。主要包括</w:t>
      </w:r>
      <w:r>
        <w:rPr>
          <w:rFonts w:hint="eastAsia" w:ascii="仿宋_GB2312" w:eastAsia="仿宋_GB2312"/>
          <w:sz w:val="30"/>
          <w:szCs w:val="30"/>
          <w:highlight w:val="none"/>
          <w:lang w:eastAsia="zh-CN"/>
        </w:rPr>
        <w:t>办公费、差旅费、公务接待费、工会经费、福利费</w:t>
      </w:r>
      <w:r>
        <w:rPr>
          <w:rFonts w:hint="eastAsia" w:ascii="仿宋_GB2312" w:eastAsia="仿宋_GB2312"/>
          <w:sz w:val="30"/>
          <w:szCs w:val="30"/>
          <w:highlight w:val="none"/>
          <w:lang w:val="en-US" w:eastAsia="zh-CN"/>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华宁县建设工程质量监督管理站</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widowControl/>
        <w:snapToGrid w:val="0"/>
        <w:spacing w:before="100" w:after="100" w:line="600" w:lineRule="exact"/>
        <w:ind w:firstLine="600" w:firstLineChars="200"/>
        <w:jc w:val="left"/>
        <w:rPr>
          <w:rFonts w:hint="eastAsia" w:ascii="仿宋_GB2312" w:eastAsia="仿宋_GB2312"/>
          <w:color w:val="FF0000"/>
          <w:sz w:val="30"/>
          <w:szCs w:val="30"/>
          <w:highlight w:val="none"/>
        </w:rPr>
      </w:pPr>
      <w:r>
        <w:rPr>
          <w:rFonts w:hint="eastAsia" w:ascii="仿宋_GB2312" w:eastAsia="仿宋_GB2312"/>
          <w:sz w:val="30"/>
          <w:szCs w:val="30"/>
          <w:highlight w:val="none"/>
          <w:lang w:eastAsia="zh-CN"/>
        </w:rPr>
        <w:t>华宁县建设工程质量监督管理站无项目支出。</w:t>
      </w:r>
    </w:p>
    <w:p>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w:t>
      </w:r>
      <w:bookmarkStart w:id="0" w:name="OLE_LINK1"/>
      <w:r>
        <w:rPr>
          <w:rFonts w:hint="eastAsia" w:ascii="楷体" w:hAnsi="楷体" w:eastAsia="楷体"/>
          <w:sz w:val="30"/>
          <w:szCs w:val="30"/>
          <w:highlight w:val="none"/>
        </w:rPr>
        <w:t>公</w:t>
      </w:r>
      <w:bookmarkEnd w:id="0"/>
      <w:r>
        <w:rPr>
          <w:rFonts w:hint="eastAsia" w:ascii="楷体" w:hAnsi="楷体" w:eastAsia="楷体"/>
          <w:sz w:val="30"/>
          <w:szCs w:val="30"/>
          <w:highlight w:val="none"/>
        </w:rPr>
        <w:t>共预算财政拨款支出决算总体情况</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zh-CN" w:eastAsia="zh-CN"/>
        </w:rPr>
        <w:t>华宁县建设工程质量监督管理站</w:t>
      </w:r>
      <w:r>
        <w:rPr>
          <w:rFonts w:hint="eastAsia" w:ascii="仿宋_GB2312" w:eastAsia="仿宋_GB2312"/>
          <w:sz w:val="30"/>
          <w:szCs w:val="30"/>
          <w:highlight w:val="none"/>
          <w:lang w:val="en-US" w:eastAsia="zh-CN"/>
        </w:rPr>
        <w:t>2025年度一般公共预算财政拨款支出</w:t>
      </w:r>
      <w:r>
        <w:rPr>
          <w:rFonts w:hint="eastAsia" w:ascii="仿宋_GB2312" w:eastAsia="仿宋_GB2312"/>
          <w:sz w:val="30"/>
          <w:szCs w:val="30"/>
          <w:highlight w:val="none"/>
          <w:lang w:val="zh-CN" w:eastAsia="zh-CN"/>
        </w:rPr>
        <w:t>2694890.85</w:t>
      </w:r>
      <w:r>
        <w:rPr>
          <w:rFonts w:hint="eastAsia" w:ascii="仿宋_GB2312" w:eastAsia="仿宋_GB2312"/>
          <w:sz w:val="30"/>
          <w:szCs w:val="30"/>
          <w:highlight w:val="none"/>
          <w:lang w:val="en-US" w:eastAsia="zh-CN"/>
        </w:rPr>
        <w:t>元,占本年支出合计的</w:t>
      </w:r>
      <w:r>
        <w:rPr>
          <w:rFonts w:hint="eastAsia" w:ascii="仿宋_GB2312" w:eastAsia="仿宋_GB2312"/>
          <w:sz w:val="30"/>
          <w:szCs w:val="30"/>
          <w:highlight w:val="none"/>
          <w:lang w:val="zh-CN" w:eastAsia="zh-CN"/>
        </w:rPr>
        <w:t>100.00</w:t>
      </w:r>
      <w:r>
        <w:rPr>
          <w:rFonts w:hint="eastAsia" w:ascii="仿宋_GB2312" w:eastAsia="仿宋_GB2312"/>
          <w:sz w:val="30"/>
          <w:szCs w:val="30"/>
          <w:highlight w:val="none"/>
          <w:lang w:val="en-US" w:eastAsia="zh-CN"/>
        </w:rPr>
        <w:t>%。与上年相比增加</w:t>
      </w:r>
      <w:r>
        <w:rPr>
          <w:rFonts w:hint="eastAsia" w:ascii="仿宋_GB2312" w:eastAsia="仿宋_GB2312"/>
          <w:sz w:val="30"/>
          <w:szCs w:val="30"/>
          <w:highlight w:val="none"/>
          <w:lang w:val="zh-CN" w:eastAsia="zh-CN"/>
        </w:rPr>
        <w:t>700858.99</w:t>
      </w:r>
      <w:r>
        <w:rPr>
          <w:rFonts w:hint="eastAsia" w:ascii="仿宋_GB2312" w:eastAsia="仿宋_GB2312"/>
          <w:sz w:val="30"/>
          <w:szCs w:val="30"/>
          <w:highlight w:val="none"/>
          <w:lang w:val="en-US" w:eastAsia="zh-CN"/>
        </w:rPr>
        <w:t>元，增长</w:t>
      </w:r>
      <w:r>
        <w:rPr>
          <w:rFonts w:hint="eastAsia" w:ascii="仿宋_GB2312" w:eastAsia="仿宋_GB2312"/>
          <w:sz w:val="30"/>
          <w:szCs w:val="30"/>
          <w:highlight w:val="none"/>
          <w:lang w:val="zh-CN" w:eastAsia="zh-CN"/>
        </w:rPr>
        <w:t>35.15</w:t>
      </w:r>
      <w:r>
        <w:rPr>
          <w:rFonts w:hint="eastAsia" w:ascii="仿宋_GB2312" w:eastAsia="仿宋_GB2312"/>
          <w:sz w:val="30"/>
          <w:szCs w:val="30"/>
          <w:highlight w:val="none"/>
          <w:lang w:val="en-US" w:eastAsia="zh-CN"/>
        </w:rPr>
        <w:t>%,完成年初预算的</w:t>
      </w:r>
      <w:r>
        <w:rPr>
          <w:rFonts w:hint="eastAsia" w:ascii="仿宋_GB2312" w:eastAsia="仿宋_GB2312"/>
          <w:sz w:val="30"/>
          <w:szCs w:val="30"/>
          <w:highlight w:val="none"/>
          <w:lang w:val="zh-CN" w:eastAsia="zh-CN"/>
        </w:rPr>
        <w:t>91.70</w:t>
      </w:r>
      <w:r>
        <w:rPr>
          <w:rFonts w:hint="eastAsia" w:ascii="仿宋_GB2312" w:eastAsia="仿宋_GB2312"/>
          <w:sz w:val="30"/>
          <w:szCs w:val="30"/>
          <w:highlight w:val="none"/>
          <w:lang w:val="en-US" w:eastAsia="zh-CN"/>
        </w:rPr>
        <w:t>%。                主要原因是2024年7月，因机构改革，县综合行政执法局城建监察大队7人分流到我单位，因此2025年度工资、绩效、五险一金比2024年度增加。同时部分人员岗位变动以及调整事业人员2024年7-2025年1月岗位工资。</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pStyle w:val="2"/>
        <w:numPr>
          <w:ilvl w:val="0"/>
          <w:numId w:val="0"/>
        </w:numPr>
        <w:ind w:firstLine="600" w:firstLineChars="200"/>
        <w:rPr>
          <w:rFonts w:hint="eastAsia"/>
          <w:sz w:val="30"/>
          <w:szCs w:val="30"/>
          <w:highlight w:val="none"/>
          <w:lang w:val="en-US" w:eastAsia="zh-CN"/>
        </w:rPr>
      </w:pPr>
      <w:r>
        <w:rPr>
          <w:rFonts w:hint="eastAsia" w:hAnsi="仿宋_GB2312" w:cs="仿宋_GB2312"/>
          <w:color w:val="auto"/>
          <w:kern w:val="0"/>
          <w:sz w:val="30"/>
          <w:lang w:val="en-US" w:eastAsia="zh-CN"/>
        </w:rPr>
        <w:t>8.</w:t>
      </w:r>
      <w:r>
        <w:rPr>
          <w:rFonts w:hint="eastAsia" w:ascii="仿宋_GB2312" w:hAnsi="仿宋_GB2312" w:eastAsia="仿宋_GB2312" w:cs="仿宋_GB2312"/>
          <w:color w:val="auto"/>
          <w:kern w:val="0"/>
          <w:sz w:val="30"/>
          <w:lang w:val="en-US"/>
        </w:rPr>
        <w:t>社会保障和就业（类）支出</w:t>
      </w:r>
      <w:r>
        <w:rPr>
          <w:rFonts w:hint="eastAsia" w:ascii="仿宋_GB2312" w:hAnsi="仿宋_GB2312" w:eastAsia="仿宋_GB2312" w:cs="仿宋_GB2312"/>
          <w:color w:val="auto"/>
          <w:kern w:val="0"/>
          <w:sz w:val="30"/>
          <w:lang w:val="en-US" w:eastAsia="zh-CN"/>
        </w:rPr>
        <w:t>279558.24</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10.37</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89.38</w:t>
      </w:r>
      <w:r>
        <w:rPr>
          <w:rFonts w:hint="eastAsia" w:ascii="仿宋_GB2312" w:eastAsia="仿宋_GB2312"/>
          <w:sz w:val="30"/>
          <w:szCs w:val="30"/>
          <w:highlight w:val="none"/>
          <w:lang w:val="en-US" w:eastAsia="zh-CN"/>
        </w:rPr>
        <w:t>%</w:t>
      </w:r>
      <w:r>
        <w:rPr>
          <w:rFonts w:hint="eastAsia"/>
          <w:sz w:val="30"/>
          <w:szCs w:val="30"/>
          <w:highlight w:val="none"/>
          <w:lang w:val="en-US" w:eastAsia="zh-CN"/>
        </w:rPr>
        <w:t>。</w:t>
      </w:r>
    </w:p>
    <w:p>
      <w:pPr>
        <w:pStyle w:val="2"/>
        <w:numPr>
          <w:ilvl w:val="0"/>
          <w:numId w:val="0"/>
        </w:numPr>
        <w:ind w:firstLine="600" w:firstLineChars="200"/>
        <w:rPr>
          <w:rFonts w:hint="eastAsia"/>
        </w:rPr>
      </w:pPr>
      <w:r>
        <w:rPr>
          <w:rFonts w:hint="eastAsia" w:ascii="仿宋_GB2312" w:eastAsia="仿宋_GB2312" w:cs="Times New Roman"/>
          <w:color w:val="000000" w:themeColor="text1"/>
          <w:kern w:val="2"/>
          <w:sz w:val="30"/>
          <w:szCs w:val="30"/>
          <w:highlight w:val="none"/>
          <w:lang w:val="en-US" w:eastAsia="zh-CN" w:bidi="ar-SA"/>
          <w14:textFill>
            <w14:solidFill>
              <w14:schemeClr w14:val="tx1"/>
            </w14:solidFill>
          </w14:textFill>
        </w:rPr>
        <w:t>主要用于单位退休人员生活补助0.00元，占一般公共财政拨款总支出的0.00%，机关事业单位基本养老保险缴费支出</w:t>
      </w:r>
      <w:r>
        <w:rPr>
          <w:rFonts w:hint="eastAsia" w:ascii="仿宋_GB2312" w:hAnsi="仿宋_GB2312" w:eastAsia="仿宋_GB2312" w:cs="仿宋_GB2312"/>
          <w:color w:val="auto"/>
          <w:kern w:val="0"/>
          <w:sz w:val="30"/>
          <w:lang w:val="en-US" w:eastAsia="zh-CN"/>
        </w:rPr>
        <w:t>279558.24</w:t>
      </w:r>
      <w:r>
        <w:rPr>
          <w:rFonts w:hint="eastAsia" w:ascii="仿宋_GB2312" w:eastAsia="仿宋_GB2312" w:cs="Times New Roman"/>
          <w:color w:val="000000" w:themeColor="text1"/>
          <w:kern w:val="2"/>
          <w:sz w:val="30"/>
          <w:szCs w:val="30"/>
          <w:highlight w:val="none"/>
          <w:lang w:val="en-US" w:eastAsia="zh-CN" w:bidi="ar-SA"/>
          <w14:textFill>
            <w14:solidFill>
              <w14:schemeClr w14:val="tx1"/>
            </w14:solidFill>
          </w14:textFill>
        </w:rPr>
        <w:t>元，</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占一般公共预算财政拨款总支出的10.</w:t>
      </w:r>
      <w:r>
        <w:rPr>
          <w:rFonts w:hint="eastAsia" w:cs="Times New Roman"/>
          <w:color w:val="000000" w:themeColor="text1"/>
          <w:kern w:val="2"/>
          <w:sz w:val="30"/>
          <w:szCs w:val="30"/>
          <w:highlight w:val="none"/>
          <w:lang w:val="en-US" w:eastAsia="zh-CN" w:bidi="ar-SA"/>
          <w14:textFill>
            <w14:solidFill>
              <w14:schemeClr w14:val="tx1"/>
            </w14:solidFill>
          </w14:textFill>
        </w:rPr>
        <w:t>37</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w:t>
      </w:r>
      <w:r>
        <w:rPr>
          <w:rFonts w:hint="eastAsia" w:cs="Times New Roman"/>
          <w:color w:val="000000" w:themeColor="text1"/>
          <w:kern w:val="2"/>
          <w:sz w:val="30"/>
          <w:szCs w:val="30"/>
          <w:highlight w:val="none"/>
          <w:lang w:val="en-US" w:eastAsia="zh-CN" w:bidi="ar-SA"/>
          <w14:textFill>
            <w14:solidFill>
              <w14:schemeClr w14:val="tx1"/>
            </w14:solidFill>
          </w14:textFill>
        </w:rPr>
        <w:t>。</w:t>
      </w:r>
      <w:r>
        <w:rPr>
          <w:rFonts w:hint="eastAsia"/>
          <w:lang w:eastAsia="zh-CN"/>
        </w:rPr>
        <w:t>造成预决算差异的主要本年度人员调出</w:t>
      </w:r>
      <w:r>
        <w:rPr>
          <w:rFonts w:hint="eastAsia" w:ascii="仿宋_GB2312" w:eastAsia="仿宋_GB2312"/>
          <w:color w:val="000000" w:themeColor="text1"/>
          <w:sz w:val="30"/>
          <w:szCs w:val="30"/>
          <w:highlight w:val="none"/>
          <w:lang w:val="en-US" w:eastAsia="zh-CN"/>
          <w14:textFill>
            <w14:solidFill>
              <w14:schemeClr w14:val="tx1"/>
            </w14:solidFill>
          </w14:textFill>
        </w:rPr>
        <w:t>。</w:t>
      </w:r>
    </w:p>
    <w:p>
      <w:pPr>
        <w:pStyle w:val="2"/>
        <w:numPr>
          <w:ilvl w:val="0"/>
          <w:numId w:val="0"/>
        </w:numPr>
        <w:ind w:firstLine="300" w:firstLineChars="100"/>
        <w:rPr>
          <w:rFonts w:hint="eastAsia"/>
          <w:sz w:val="30"/>
          <w:szCs w:val="30"/>
          <w:highlight w:val="none"/>
          <w:lang w:val="en-US" w:eastAsia="zh-CN"/>
        </w:rPr>
      </w:pPr>
      <w:r>
        <w:rPr>
          <w:rFonts w:hint="eastAsia" w:hAnsi="仿宋_GB2312" w:cs="仿宋_GB2312"/>
          <w:color w:val="auto"/>
          <w:kern w:val="0"/>
          <w:sz w:val="30"/>
          <w:lang w:val="en-US" w:eastAsia="zh-CN"/>
        </w:rPr>
        <w:t>9.</w:t>
      </w:r>
      <w:r>
        <w:rPr>
          <w:rFonts w:hint="eastAsia" w:ascii="仿宋_GB2312" w:hAnsi="仿宋_GB2312" w:eastAsia="仿宋_GB2312" w:cs="仿宋_GB2312"/>
          <w:color w:val="auto"/>
          <w:kern w:val="0"/>
          <w:sz w:val="30"/>
          <w:lang w:val="en-US"/>
        </w:rPr>
        <w:t>卫生健康（类）支出</w:t>
      </w:r>
      <w:r>
        <w:rPr>
          <w:rFonts w:hint="eastAsia" w:ascii="仿宋_GB2312" w:hAnsi="仿宋_GB2312" w:eastAsia="仿宋_GB2312" w:cs="仿宋_GB2312"/>
          <w:color w:val="auto"/>
          <w:kern w:val="0"/>
          <w:sz w:val="30"/>
          <w:lang w:val="zh-CN"/>
        </w:rPr>
        <w:t>226873.65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8.42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92.19</w:t>
      </w:r>
      <w:r>
        <w:rPr>
          <w:rFonts w:hint="eastAsia" w:ascii="仿宋_GB2312" w:eastAsia="仿宋_GB2312"/>
          <w:sz w:val="30"/>
          <w:szCs w:val="30"/>
          <w:highlight w:val="none"/>
          <w:lang w:val="en-US" w:eastAsia="zh-CN"/>
        </w:rPr>
        <w:t>%</w:t>
      </w:r>
      <w:r>
        <w:rPr>
          <w:rFonts w:hint="eastAsia"/>
          <w:sz w:val="30"/>
          <w:szCs w:val="30"/>
          <w:highlight w:val="none"/>
          <w:lang w:val="en-US" w:eastAsia="zh-CN"/>
        </w:rPr>
        <w:t>.</w:t>
      </w:r>
    </w:p>
    <w:p>
      <w:pPr>
        <w:pStyle w:val="2"/>
        <w:numPr>
          <w:ilvl w:val="0"/>
          <w:numId w:val="0"/>
        </w:numPr>
        <w:ind w:firstLine="600" w:firstLineChars="200"/>
        <w:rPr>
          <w:rFonts w:hint="eastAsia"/>
        </w:rPr>
      </w:pPr>
      <w:r>
        <w:rPr>
          <w:rFonts w:hint="eastAsia" w:ascii="仿宋_GB2312" w:eastAsia="仿宋_GB2312" w:cs="Times New Roman"/>
          <w:color w:val="000000" w:themeColor="text1"/>
          <w:kern w:val="2"/>
          <w:sz w:val="30"/>
          <w:szCs w:val="30"/>
          <w:highlight w:val="none"/>
          <w:lang w:val="en-US" w:eastAsia="zh-CN" w:bidi="ar-SA"/>
          <w14:textFill>
            <w14:solidFill>
              <w14:schemeClr w14:val="tx1"/>
            </w14:solidFill>
          </w14:textFill>
        </w:rPr>
        <w:t>主要用于</w:t>
      </w:r>
      <w:r>
        <w:rPr>
          <w:rFonts w:hint="eastAsia" w:cs="Times New Roman"/>
          <w:color w:val="000000" w:themeColor="text1"/>
          <w:kern w:val="2"/>
          <w:sz w:val="30"/>
          <w:szCs w:val="30"/>
          <w:highlight w:val="none"/>
          <w:lang w:val="en-US" w:eastAsia="zh-CN" w:bidi="ar-SA"/>
          <w14:textFill>
            <w14:solidFill>
              <w14:schemeClr w14:val="tx1"/>
            </w14:solidFill>
          </w14:textFill>
        </w:rPr>
        <w:t>事业</w:t>
      </w:r>
      <w:r>
        <w:rPr>
          <w:rFonts w:hint="eastAsia" w:ascii="仿宋_GB2312" w:eastAsia="仿宋_GB2312" w:cs="Times New Roman"/>
          <w:color w:val="000000" w:themeColor="text1"/>
          <w:kern w:val="2"/>
          <w:sz w:val="30"/>
          <w:szCs w:val="30"/>
          <w:highlight w:val="none"/>
          <w:lang w:val="en-US" w:eastAsia="zh-CN" w:bidi="ar-SA"/>
          <w14:textFill>
            <w14:solidFill>
              <w14:schemeClr w14:val="tx1"/>
            </w14:solidFill>
          </w14:textFill>
        </w:rPr>
        <w:t>单位</w:t>
      </w:r>
      <w:r>
        <w:rPr>
          <w:rFonts w:hint="eastAsia" w:cs="Times New Roman"/>
          <w:color w:val="000000" w:themeColor="text1"/>
          <w:kern w:val="2"/>
          <w:sz w:val="30"/>
          <w:szCs w:val="30"/>
          <w:highlight w:val="none"/>
          <w:lang w:val="en-US" w:eastAsia="zh-CN" w:bidi="ar-SA"/>
          <w14:textFill>
            <w14:solidFill>
              <w14:schemeClr w14:val="tx1"/>
            </w14:solidFill>
          </w14:textFill>
        </w:rPr>
        <w:t>医疗保险</w:t>
      </w:r>
      <w:r>
        <w:rPr>
          <w:rFonts w:hint="eastAsia" w:hAnsi="仿宋_GB2312" w:cs="仿宋_GB2312"/>
          <w:color w:val="auto"/>
          <w:kern w:val="0"/>
          <w:sz w:val="30"/>
          <w:lang w:val="en-US" w:eastAsia="zh-CN"/>
        </w:rPr>
        <w:t>141224.71</w:t>
      </w:r>
      <w:r>
        <w:rPr>
          <w:rFonts w:hint="eastAsia" w:cs="Times New Roman"/>
          <w:color w:val="000000" w:themeColor="text1"/>
          <w:kern w:val="2"/>
          <w:sz w:val="30"/>
          <w:szCs w:val="30"/>
          <w:highlight w:val="none"/>
          <w:lang w:val="en-US" w:eastAsia="zh-CN" w:bidi="ar-SA"/>
          <w14:textFill>
            <w14:solidFill>
              <w14:schemeClr w14:val="tx1"/>
            </w14:solidFill>
          </w14:textFill>
        </w:rPr>
        <w:t>元</w:t>
      </w:r>
      <w:r>
        <w:rPr>
          <w:rFonts w:hint="eastAsia" w:ascii="仿宋_GB2312" w:eastAsia="仿宋_GB2312" w:cs="Times New Roman"/>
          <w:color w:val="000000" w:themeColor="text1"/>
          <w:kern w:val="2"/>
          <w:sz w:val="30"/>
          <w:szCs w:val="30"/>
          <w:highlight w:val="none"/>
          <w:lang w:val="en-US" w:eastAsia="zh-CN" w:bidi="ar-SA"/>
          <w14:textFill>
            <w14:solidFill>
              <w14:schemeClr w14:val="tx1"/>
            </w14:solidFill>
          </w14:textFill>
        </w:rPr>
        <w:t>，占一般公共财政拨款总支出的</w:t>
      </w:r>
      <w:r>
        <w:rPr>
          <w:rFonts w:hint="eastAsia" w:cs="Times New Roman"/>
          <w:color w:val="000000" w:themeColor="text1"/>
          <w:kern w:val="2"/>
          <w:sz w:val="30"/>
          <w:szCs w:val="30"/>
          <w:highlight w:val="none"/>
          <w:lang w:val="en-US" w:eastAsia="zh-CN" w:bidi="ar-SA"/>
          <w14:textFill>
            <w14:solidFill>
              <w14:schemeClr w14:val="tx1"/>
            </w14:solidFill>
          </w14:textFill>
        </w:rPr>
        <w:t>5.24</w:t>
      </w:r>
      <w:r>
        <w:rPr>
          <w:rFonts w:hint="eastAsia" w:ascii="仿宋_GB2312" w:eastAsia="仿宋_GB2312" w:cs="Times New Roman"/>
          <w:color w:val="000000" w:themeColor="text1"/>
          <w:kern w:val="2"/>
          <w:sz w:val="30"/>
          <w:szCs w:val="30"/>
          <w:highlight w:val="none"/>
          <w:lang w:val="en-US" w:eastAsia="zh-CN" w:bidi="ar-SA"/>
          <w14:textFill>
            <w14:solidFill>
              <w14:schemeClr w14:val="tx1"/>
            </w14:solidFill>
          </w14:textFill>
        </w:rPr>
        <w:t>%，</w:t>
      </w:r>
      <w:r>
        <w:rPr>
          <w:rFonts w:hint="eastAsia" w:cs="Times New Roman"/>
          <w:color w:val="000000" w:themeColor="text1"/>
          <w:kern w:val="2"/>
          <w:sz w:val="30"/>
          <w:szCs w:val="30"/>
          <w:highlight w:val="none"/>
          <w:lang w:val="en-US" w:eastAsia="zh-CN" w:bidi="ar-SA"/>
          <w14:textFill>
            <w14:solidFill>
              <w14:schemeClr w14:val="tx1"/>
            </w14:solidFill>
          </w14:textFill>
        </w:rPr>
        <w:t>公务员医疗补助73071.86</w:t>
      </w:r>
      <w:r>
        <w:rPr>
          <w:rFonts w:hint="eastAsia" w:ascii="仿宋_GB2312" w:eastAsia="仿宋_GB2312" w:cs="Times New Roman"/>
          <w:color w:val="000000" w:themeColor="text1"/>
          <w:kern w:val="2"/>
          <w:sz w:val="30"/>
          <w:szCs w:val="30"/>
          <w:highlight w:val="none"/>
          <w:lang w:val="en-US" w:eastAsia="zh-CN" w:bidi="ar-SA"/>
          <w14:textFill>
            <w14:solidFill>
              <w14:schemeClr w14:val="tx1"/>
            </w14:solidFill>
          </w14:textFill>
        </w:rPr>
        <w:t>元，</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占一般公共预算财政拨款总支出的</w:t>
      </w:r>
      <w:r>
        <w:rPr>
          <w:rFonts w:hint="eastAsia" w:cs="Times New Roman"/>
          <w:color w:val="000000" w:themeColor="text1"/>
          <w:kern w:val="2"/>
          <w:sz w:val="30"/>
          <w:szCs w:val="30"/>
          <w:highlight w:val="none"/>
          <w:lang w:val="en-US" w:eastAsia="zh-CN" w:bidi="ar-SA"/>
          <w14:textFill>
            <w14:solidFill>
              <w14:schemeClr w14:val="tx1"/>
            </w14:solidFill>
          </w14:textFill>
        </w:rPr>
        <w:t>2.71</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w:t>
      </w:r>
      <w:r>
        <w:rPr>
          <w:rFonts w:hint="eastAsia" w:cs="Times New Roman"/>
          <w:color w:val="000000" w:themeColor="text1"/>
          <w:kern w:val="2"/>
          <w:sz w:val="30"/>
          <w:szCs w:val="30"/>
          <w:highlight w:val="none"/>
          <w:lang w:val="en-US" w:eastAsia="zh-CN" w:bidi="ar-SA"/>
          <w14:textFill>
            <w14:solidFill>
              <w14:schemeClr w14:val="tx1"/>
            </w14:solidFill>
          </w14:textFill>
        </w:rPr>
        <w:t>，其他行政事业单位医疗支出12577.08元，</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占一般公共预算财政拨款总支出的</w:t>
      </w:r>
      <w:r>
        <w:rPr>
          <w:rFonts w:hint="eastAsia" w:cs="Times New Roman"/>
          <w:color w:val="000000" w:themeColor="text1"/>
          <w:kern w:val="2"/>
          <w:sz w:val="30"/>
          <w:szCs w:val="30"/>
          <w:highlight w:val="none"/>
          <w:lang w:val="en-US" w:eastAsia="zh-CN" w:bidi="ar-SA"/>
          <w14:textFill>
            <w14:solidFill>
              <w14:schemeClr w14:val="tx1"/>
            </w14:solidFill>
          </w14:textFill>
        </w:rPr>
        <w:t>0.47</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w:t>
      </w:r>
      <w:r>
        <w:rPr>
          <w:rFonts w:hint="eastAsia" w:ascii="仿宋_GB2312" w:eastAsia="仿宋_GB2312"/>
          <w:color w:val="000000" w:themeColor="text1"/>
          <w:sz w:val="30"/>
          <w:szCs w:val="30"/>
          <w:highlight w:val="none"/>
          <w:lang w:val="en-US" w:eastAsia="zh-CN"/>
          <w14:textFill>
            <w14:solidFill>
              <w14:schemeClr w14:val="tx1"/>
            </w14:solidFill>
          </w14:textFill>
        </w:rPr>
        <w:t>。</w:t>
      </w:r>
      <w:r>
        <w:rPr>
          <w:rFonts w:hint="eastAsia"/>
          <w:lang w:eastAsia="zh-CN"/>
        </w:rPr>
        <w:t>造成预决算差异的主要原本年度人员调出</w:t>
      </w:r>
      <w:r>
        <w:rPr>
          <w:rFonts w:hint="eastAsia" w:ascii="仿宋_GB2312" w:eastAsia="仿宋_GB2312"/>
          <w:color w:val="000000" w:themeColor="text1"/>
          <w:sz w:val="30"/>
          <w:szCs w:val="30"/>
          <w:highlight w:val="none"/>
          <w:lang w:val="en-US" w:eastAsia="zh-CN"/>
          <w14:textFill>
            <w14:solidFill>
              <w14:schemeClr w14:val="tx1"/>
            </w14:solidFill>
          </w14:textFill>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1972557.96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73.20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92.07</w:t>
      </w:r>
      <w:r>
        <w:rPr>
          <w:rFonts w:hint="eastAsia" w:ascii="仿宋_GB2312" w:eastAsia="仿宋_GB2312"/>
          <w:sz w:val="30"/>
          <w:szCs w:val="30"/>
          <w:highlight w:val="none"/>
          <w:lang w:val="en-US" w:eastAsia="zh-CN"/>
        </w:rPr>
        <w:t>%.。</w:t>
      </w:r>
    </w:p>
    <w:p>
      <w:pPr>
        <w:widowControl/>
        <w:snapToGrid w:val="0"/>
        <w:spacing w:before="100" w:after="100" w:line="360" w:lineRule="auto"/>
        <w:ind w:firstLine="600" w:firstLineChars="200"/>
        <w:jc w:val="left"/>
        <w:rPr>
          <w:rFonts w:hint="eastAsia" w:ascii="方正仿宋_GBK" w:hAnsi="方正仿宋_GBK" w:eastAsia="方正仿宋_GBK" w:cs="方正仿宋_GBK"/>
          <w:color w:val="000000" w:themeColor="text1"/>
          <w:sz w:val="30"/>
          <w:szCs w:val="30"/>
          <w:lang w:eastAsia="zh-CN"/>
          <w14:textFill>
            <w14:solidFill>
              <w14:schemeClr w14:val="tx1"/>
            </w14:solidFill>
          </w14:textFill>
        </w:rPr>
      </w:pPr>
      <w:r>
        <w:rPr>
          <w:rFonts w:hint="eastAsia" w:ascii="仿宋_GB2312" w:eastAsia="仿宋_GB2312"/>
          <w:color w:val="000000" w:themeColor="text1"/>
          <w:sz w:val="30"/>
          <w:szCs w:val="30"/>
          <w:lang w:eastAsia="zh-CN"/>
          <w14:textFill>
            <w14:solidFill>
              <w14:schemeClr w14:val="tx1"/>
            </w14:solidFill>
          </w14:textFill>
        </w:rPr>
        <w:t>主要用于人员经费</w:t>
      </w:r>
      <w:r>
        <w:rPr>
          <w:rFonts w:hint="eastAsia" w:ascii="仿宋_GB2312" w:eastAsia="仿宋_GB2312"/>
          <w:color w:val="000000" w:themeColor="text1"/>
          <w:sz w:val="30"/>
          <w:szCs w:val="30"/>
          <w:lang w:val="en-US" w:eastAsia="zh-CN"/>
          <w14:textFill>
            <w14:solidFill>
              <w14:schemeClr w14:val="tx1"/>
            </w14:solidFill>
          </w14:textFill>
        </w:rPr>
        <w:t>1937911.36</w:t>
      </w:r>
      <w:r>
        <w:rPr>
          <w:rFonts w:hint="eastAsia" w:ascii="仿宋_GB2312" w:eastAsia="仿宋_GB2312"/>
          <w:color w:val="000000" w:themeColor="text1"/>
          <w:sz w:val="30"/>
          <w:szCs w:val="30"/>
          <w:lang w:eastAsia="zh-CN"/>
          <w14:textFill>
            <w14:solidFill>
              <w14:schemeClr w14:val="tx1"/>
            </w14:solidFill>
          </w14:textFill>
        </w:rPr>
        <w:t>元，占一般公共财政拨款总支出的</w:t>
      </w:r>
      <w:r>
        <w:rPr>
          <w:rFonts w:hint="eastAsia" w:ascii="仿宋_GB2312" w:eastAsia="仿宋_GB2312"/>
          <w:color w:val="000000" w:themeColor="text1"/>
          <w:sz w:val="30"/>
          <w:szCs w:val="30"/>
          <w:lang w:val="en-US" w:eastAsia="zh-CN"/>
          <w14:textFill>
            <w14:solidFill>
              <w14:schemeClr w14:val="tx1"/>
            </w14:solidFill>
          </w14:textFill>
        </w:rPr>
        <w:t>71.91</w:t>
      </w:r>
      <w:r>
        <w:rPr>
          <w:rFonts w:hint="eastAsia" w:ascii="仿宋_GB2312" w:eastAsia="仿宋_GB2312"/>
          <w:color w:val="000000" w:themeColor="text1"/>
          <w:sz w:val="30"/>
          <w:szCs w:val="30"/>
          <w:lang w:eastAsia="zh-CN"/>
          <w14:textFill>
            <w14:solidFill>
              <w14:schemeClr w14:val="tx1"/>
            </w14:solidFill>
          </w14:textFill>
        </w:rPr>
        <w:t>%，公用经费</w:t>
      </w:r>
      <w:r>
        <w:rPr>
          <w:rFonts w:hint="eastAsia" w:ascii="仿宋_GB2312" w:eastAsia="仿宋_GB2312"/>
          <w:color w:val="000000" w:themeColor="text1"/>
          <w:sz w:val="30"/>
          <w:szCs w:val="30"/>
          <w:lang w:val="en-US" w:eastAsia="zh-CN"/>
          <w14:textFill>
            <w14:solidFill>
              <w14:schemeClr w14:val="tx1"/>
            </w14:solidFill>
          </w14:textFill>
        </w:rPr>
        <w:t>34646.60</w:t>
      </w:r>
      <w:r>
        <w:rPr>
          <w:rFonts w:hint="eastAsia" w:ascii="仿宋_GB2312" w:eastAsia="仿宋_GB2312"/>
          <w:color w:val="000000" w:themeColor="text1"/>
          <w:sz w:val="30"/>
          <w:szCs w:val="30"/>
          <w:lang w:eastAsia="zh-CN"/>
          <w14:textFill>
            <w14:solidFill>
              <w14:schemeClr w14:val="tx1"/>
            </w14:solidFill>
          </w14:textFill>
        </w:rPr>
        <w:t>元，占一般公共预算财政拨款总支出的</w:t>
      </w:r>
      <w:r>
        <w:rPr>
          <w:rFonts w:hint="eastAsia" w:ascii="仿宋_GB2312" w:eastAsia="仿宋_GB2312"/>
          <w:color w:val="000000" w:themeColor="text1"/>
          <w:sz w:val="30"/>
          <w:szCs w:val="30"/>
          <w:lang w:val="en-US" w:eastAsia="zh-CN"/>
          <w14:textFill>
            <w14:solidFill>
              <w14:schemeClr w14:val="tx1"/>
            </w14:solidFill>
          </w14:textFill>
        </w:rPr>
        <w:t>1.29</w:t>
      </w:r>
      <w:r>
        <w:rPr>
          <w:rFonts w:hint="eastAsia" w:ascii="仿宋_GB2312" w:eastAsia="仿宋_GB2312"/>
          <w:color w:val="000000" w:themeColor="text1"/>
          <w:sz w:val="30"/>
          <w:szCs w:val="30"/>
          <w:lang w:eastAsia="zh-CN"/>
          <w14:textFill>
            <w14:solidFill>
              <w14:schemeClr w14:val="tx1"/>
            </w14:solidFill>
          </w14:textFill>
        </w:rPr>
        <w:t>%。造成预决算差异的</w:t>
      </w:r>
      <w:r>
        <w:rPr>
          <w:rFonts w:hint="eastAsia" w:ascii="方正仿宋_GBK" w:hAnsi="方正仿宋_GBK" w:eastAsia="方正仿宋_GBK" w:cs="方正仿宋_GBK"/>
          <w:color w:val="000000" w:themeColor="text1"/>
          <w:sz w:val="30"/>
          <w:szCs w:val="30"/>
          <w:lang w:eastAsia="zh-CN"/>
          <w14:textFill>
            <w14:solidFill>
              <w14:schemeClr w14:val="tx1"/>
            </w14:solidFill>
          </w14:textFill>
        </w:rPr>
        <w:t>主要原因是</w:t>
      </w:r>
      <w:r>
        <w:rPr>
          <w:rFonts w:hint="eastAsia" w:ascii="方正仿宋_GBK" w:hAnsi="方正仿宋_GBK" w:eastAsia="方正仿宋_GBK" w:cs="方正仿宋_GBK"/>
          <w:sz w:val="30"/>
          <w:szCs w:val="30"/>
          <w:lang w:eastAsia="zh-CN"/>
        </w:rPr>
        <w:t>本年度人员调出，财政压缩公用经费。</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215901.00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8.01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90.89</w:t>
      </w:r>
      <w:r>
        <w:rPr>
          <w:rFonts w:hint="eastAsia" w:ascii="仿宋_GB2312" w:eastAsia="仿宋_GB2312"/>
          <w:sz w:val="30"/>
          <w:szCs w:val="30"/>
          <w:highlight w:val="none"/>
          <w:lang w:val="en-US" w:eastAsia="zh-CN"/>
        </w:rPr>
        <w:t>%。</w:t>
      </w:r>
    </w:p>
    <w:p>
      <w:pPr>
        <w:widowControl/>
        <w:snapToGrid w:val="0"/>
        <w:spacing w:before="100" w:after="100" w:line="360" w:lineRule="auto"/>
        <w:ind w:firstLine="600" w:firstLineChars="200"/>
        <w:jc w:val="left"/>
        <w:rPr>
          <w:rFonts w:hint="eastAsia" w:ascii="仿宋_GB2312" w:eastAsia="仿宋_GB2312"/>
          <w:color w:val="000000" w:themeColor="text1"/>
          <w:sz w:val="30"/>
          <w:szCs w:val="30"/>
          <w:lang w:eastAsia="zh-CN"/>
          <w14:textFill>
            <w14:solidFill>
              <w14:schemeClr w14:val="tx1"/>
            </w14:solidFill>
          </w14:textFill>
        </w:rPr>
      </w:pPr>
      <w:r>
        <w:rPr>
          <w:rFonts w:hint="eastAsia" w:ascii="仿宋_GB2312" w:eastAsia="仿宋_GB2312"/>
          <w:color w:val="000000" w:themeColor="text1"/>
          <w:sz w:val="30"/>
          <w:szCs w:val="30"/>
          <w:lang w:eastAsia="zh-CN"/>
          <w14:textFill>
            <w14:solidFill>
              <w14:schemeClr w14:val="tx1"/>
            </w14:solidFill>
          </w14:textFill>
        </w:rPr>
        <w:t>主要用于支付事业人员单位补助公积金</w:t>
      </w:r>
      <w:r>
        <w:rPr>
          <w:rFonts w:hint="eastAsia" w:ascii="仿宋_GB2312" w:hAnsi="仿宋_GB2312" w:eastAsia="仿宋_GB2312" w:cs="仿宋_GB2312"/>
          <w:color w:val="000000" w:themeColor="text1"/>
          <w:kern w:val="0"/>
          <w:sz w:val="30"/>
          <w:lang w:val="zh-CN"/>
          <w14:textFill>
            <w14:solidFill>
              <w14:schemeClr w14:val="tx1"/>
            </w14:solidFill>
          </w14:textFill>
        </w:rPr>
        <w:t>215901.00</w:t>
      </w:r>
      <w:r>
        <w:rPr>
          <w:rFonts w:hint="eastAsia" w:ascii="仿宋_GB2312" w:eastAsia="仿宋_GB2312"/>
          <w:color w:val="000000" w:themeColor="text1"/>
          <w:sz w:val="30"/>
          <w:szCs w:val="30"/>
          <w:lang w:eastAsia="zh-CN"/>
          <w14:textFill>
            <w14:solidFill>
              <w14:schemeClr w14:val="tx1"/>
            </w14:solidFill>
          </w14:textFill>
        </w:rPr>
        <w:t>元，占一般公共预算财政拨款总支出的</w:t>
      </w:r>
      <w:r>
        <w:rPr>
          <w:rFonts w:hint="eastAsia" w:ascii="仿宋_GB2312" w:eastAsia="仿宋_GB2312"/>
          <w:color w:val="000000" w:themeColor="text1"/>
          <w:sz w:val="30"/>
          <w:szCs w:val="30"/>
          <w:lang w:val="en-US" w:eastAsia="zh-CN"/>
          <w14:textFill>
            <w14:solidFill>
              <w14:schemeClr w14:val="tx1"/>
            </w14:solidFill>
          </w14:textFill>
        </w:rPr>
        <w:t>8.01</w:t>
      </w:r>
      <w:r>
        <w:rPr>
          <w:rFonts w:hint="eastAsia" w:ascii="仿宋_GB2312" w:eastAsia="仿宋_GB2312"/>
          <w:color w:val="000000" w:themeColor="text1"/>
          <w:sz w:val="30"/>
          <w:szCs w:val="30"/>
          <w:lang w:eastAsia="zh-CN"/>
          <w14:textFill>
            <w14:solidFill>
              <w14:schemeClr w14:val="tx1"/>
            </w14:solidFill>
          </w14:textFill>
        </w:rPr>
        <w:t>%。造成预决算差异的主要原因是县财政资金困难，未支付</w:t>
      </w:r>
      <w:r>
        <w:rPr>
          <w:rFonts w:hint="eastAsia" w:ascii="仿宋_GB2312" w:eastAsia="仿宋_GB2312"/>
          <w:color w:val="000000" w:themeColor="text1"/>
          <w:sz w:val="30"/>
          <w:szCs w:val="30"/>
          <w:lang w:val="en-US" w:eastAsia="zh-CN"/>
          <w14:textFill>
            <w14:solidFill>
              <w14:schemeClr w14:val="tx1"/>
            </w14:solidFill>
          </w14:textFill>
        </w:rPr>
        <w:t>2025年11-12月公积金以及人员调出</w:t>
      </w:r>
      <w:r>
        <w:rPr>
          <w:rFonts w:hint="eastAsia" w:ascii="仿宋_GB2312" w:eastAsia="仿宋_GB2312"/>
          <w:color w:val="000000" w:themeColor="text1"/>
          <w:sz w:val="30"/>
          <w:szCs w:val="30"/>
          <w:lang w:eastAsia="zh-CN"/>
          <w14:textFill>
            <w14:solidFill>
              <w14:schemeClr w14:val="tx1"/>
            </w14:solidFill>
          </w14:textFill>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hAnsi="Times New Roman" w:eastAsia="仿宋_GB2312" w:cs="Times New Roman"/>
          <w:color w:val="000000" w:themeColor="text1"/>
          <w:kern w:val="2"/>
          <w:sz w:val="30"/>
          <w:szCs w:val="30"/>
          <w:highlight w:val="none"/>
          <w:lang w:val="en-US" w:eastAsia="zh-CN" w:bidi="ar-SA"/>
          <w14:textFill>
            <w14:solidFill>
              <w14:schemeClr w14:val="tx1"/>
            </w14:solidFill>
          </w14:textFill>
        </w:rPr>
        <w:t>“年初无此项预算”。</w:t>
      </w:r>
    </w:p>
    <w:p>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000000" w:themeColor="text1"/>
          <w:sz w:val="30"/>
          <w:szCs w:val="30"/>
          <w:lang w:eastAsia="zh-CN"/>
          <w14:textFill>
            <w14:solidFill>
              <w14:schemeClr w14:val="tx1"/>
            </w14:solidFill>
          </w14:textFill>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10800.00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315.00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2.92</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315.00</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10800.00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315.00</w:t>
      </w:r>
      <w:r>
        <w:rPr>
          <w:rFonts w:hint="eastAsia" w:ascii="仿宋_GB2312" w:hAnsi="宋体" w:eastAsia="仿宋_GB2312" w:cs="Arial"/>
          <w:kern w:val="0"/>
          <w:sz w:val="30"/>
          <w:szCs w:val="30"/>
          <w:highlight w:val="none"/>
        </w:rPr>
        <w:t>元，占财政</w:t>
      </w:r>
      <w:r>
        <w:rPr>
          <w:rFonts w:hint="eastAsia" w:ascii="仿宋_GB2312" w:hAnsi="宋体" w:eastAsia="仿宋_GB2312" w:cs="Arial"/>
          <w:color w:val="000000" w:themeColor="text1"/>
          <w:kern w:val="0"/>
          <w:sz w:val="30"/>
          <w:szCs w:val="30"/>
          <w:highlight w:val="none"/>
          <w14:textFill>
            <w14:solidFill>
              <w14:schemeClr w14:val="tx1"/>
            </w14:solidFill>
          </w14:textFill>
        </w:rPr>
        <w:t>拨款“三公”经费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总支出决算的</w:t>
      </w:r>
      <w:r>
        <w:rPr>
          <w:rFonts w:hint="eastAsia" w:ascii="仿宋_GB2312" w:hAnsi="仿宋_GB2312" w:eastAsia="仿宋_GB2312" w:cs="仿宋_GB2312"/>
          <w:color w:val="000000" w:themeColor="text1"/>
          <w:sz w:val="30"/>
          <w:lang w:val="zh-CN"/>
          <w14:textFill>
            <w14:solidFill>
              <w14:schemeClr w14:val="tx1"/>
            </w14:solidFill>
          </w14:textFill>
        </w:rPr>
        <w:t>100.00</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，完成年初预算的</w:t>
      </w:r>
      <w:r>
        <w:rPr>
          <w:rFonts w:hint="eastAsia" w:ascii="仿宋_GB2312" w:hAnsi="仿宋_GB2312" w:eastAsia="仿宋_GB2312" w:cs="仿宋_GB2312"/>
          <w:color w:val="000000" w:themeColor="text1"/>
          <w:sz w:val="30"/>
          <w:lang w:val="zh-CN"/>
          <w14:textFill>
            <w14:solidFill>
              <w14:schemeClr w14:val="tx1"/>
            </w14:solidFill>
          </w14:textFill>
        </w:rPr>
        <w:t>2.92</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因公出国（境）费</w:t>
      </w:r>
      <w:r>
        <w:rPr>
          <w:rFonts w:hint="eastAsia" w:ascii="仿宋_GB2312" w:eastAsia="仿宋_GB2312"/>
          <w:color w:val="000000" w:themeColor="text1"/>
          <w:sz w:val="30"/>
          <w:szCs w:val="30"/>
          <w:highlight w:val="none"/>
          <w:lang w:val="en-US" w:eastAsia="zh-CN"/>
          <w14:textFill>
            <w14:solidFill>
              <w14:schemeClr w14:val="tx1"/>
            </w14:solidFill>
          </w14:textFill>
        </w:rPr>
        <w:t>用</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公务用车购置费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公务接待费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315.00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315.00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10800.00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315.00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2.92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315.00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pPr>
        <w:widowControl/>
        <w:snapToGrid w:val="0"/>
        <w:spacing w:before="100" w:after="100" w:line="360" w:lineRule="auto"/>
        <w:ind w:firstLine="600" w:firstLineChars="200"/>
        <w:jc w:val="both"/>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10800.00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315.00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2.92</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是本年度我单位无因公出国（境）费、公务用车购置费、公</w:t>
      </w:r>
      <w:r>
        <w:rPr>
          <w:rFonts w:hint="eastAsia" w:ascii="仿宋_GB2312" w:eastAsia="仿宋_GB2312"/>
          <w:color w:val="000000" w:themeColor="text1"/>
          <w:sz w:val="30"/>
          <w:szCs w:val="30"/>
          <w:highlight w:val="none"/>
          <w:lang w:eastAsia="zh-CN"/>
          <w14:textFill>
            <w14:solidFill>
              <w14:schemeClr w14:val="tx1"/>
            </w14:solidFill>
          </w14:textFill>
        </w:rPr>
        <w:t>务用车购置运行维护费、只有</w:t>
      </w:r>
      <w:r>
        <w:rPr>
          <w:rFonts w:hint="eastAsia" w:ascii="仿宋_GB2312" w:eastAsia="仿宋_GB2312"/>
          <w:color w:val="000000" w:themeColor="text1"/>
          <w:sz w:val="30"/>
          <w:szCs w:val="30"/>
          <w:highlight w:val="none"/>
          <w:lang w:val="en-US" w:eastAsia="zh-CN"/>
          <w14:textFill>
            <w14:solidFill>
              <w14:schemeClr w14:val="tx1"/>
            </w14:solidFill>
          </w14:textFill>
        </w:rPr>
        <w:t>1次</w:t>
      </w:r>
      <w:r>
        <w:rPr>
          <w:rFonts w:hint="eastAsia" w:ascii="仿宋_GB2312" w:eastAsia="仿宋_GB2312"/>
          <w:color w:val="000000" w:themeColor="text1"/>
          <w:sz w:val="30"/>
          <w:szCs w:val="30"/>
          <w:highlight w:val="none"/>
          <w:lang w:eastAsia="zh-CN"/>
          <w14:textFill>
            <w14:solidFill>
              <w14:schemeClr w14:val="tx1"/>
            </w14:solidFill>
          </w14:textFill>
        </w:rPr>
        <w:t>公务接待费支出</w:t>
      </w:r>
      <w:r>
        <w:rPr>
          <w:rFonts w:hint="eastAsia" w:ascii="仿宋_GB2312" w:eastAsia="仿宋_GB2312"/>
          <w:color w:val="000000" w:themeColor="text1"/>
          <w:sz w:val="30"/>
          <w:szCs w:val="30"/>
          <w:highlight w:val="none"/>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eastAsia="仿宋_GB2312"/>
          <w:color w:val="000000" w:themeColor="text1"/>
          <w:sz w:val="30"/>
          <w:szCs w:val="30"/>
          <w:highlight w:val="none"/>
          <w:lang w:eastAsia="zh-CN"/>
          <w14:textFill>
            <w14:solidFill>
              <w14:schemeClr w14:val="tx1"/>
            </w14:solidFill>
          </w14:textFill>
        </w:rPr>
        <w:t>中：</w:t>
      </w:r>
      <w:r>
        <w:rPr>
          <w:rFonts w:hint="eastAsia" w:ascii="仿宋_GB2312" w:eastAsia="仿宋_GB2312"/>
          <w:color w:val="000000" w:themeColor="text1"/>
          <w:sz w:val="30"/>
          <w:szCs w:val="30"/>
          <w:highlight w:val="none"/>
          <w14:textFill>
            <w14:solidFill>
              <w14:schemeClr w14:val="tx1"/>
            </w14:solidFill>
          </w14:textFill>
        </w:rPr>
        <w:t>因公出国（境）费</w:t>
      </w:r>
      <w:r>
        <w:rPr>
          <w:rFonts w:hint="eastAsia" w:ascii="仿宋_GB2312" w:eastAsia="仿宋_GB2312"/>
          <w:color w:val="000000" w:themeColor="text1"/>
          <w:sz w:val="30"/>
          <w:szCs w:val="30"/>
          <w:highlight w:val="none"/>
          <w:lang w:val="en-US" w:eastAsia="zh-CN"/>
          <w14:textFill>
            <w14:solidFill>
              <w14:schemeClr w14:val="tx1"/>
            </w14:solidFill>
          </w14:textFill>
        </w:rPr>
        <w:t>用</w:t>
      </w:r>
      <w:r>
        <w:rPr>
          <w:rFonts w:hint="eastAsia" w:ascii="仿宋_GB2312" w:eastAsia="仿宋_GB2312"/>
          <w:color w:val="000000" w:themeColor="text1"/>
          <w:sz w:val="30"/>
          <w:szCs w:val="30"/>
          <w:highlight w:val="none"/>
          <w14:textFill>
            <w14:solidFill>
              <w14:schemeClr w14:val="tx1"/>
            </w14:solidFill>
          </w14:textFill>
        </w:rPr>
        <w:t>支出决算</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；公务用车购置费支出决算</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eastAsia="仿宋_GB2312"/>
          <w:color w:val="000000" w:themeColor="text1"/>
          <w:sz w:val="30"/>
          <w:szCs w:val="30"/>
          <w:highlight w:val="none"/>
          <w14:textFill>
            <w14:solidFill>
              <w14:schemeClr w14:val="tx1"/>
            </w14:solidFill>
          </w14:textFill>
        </w:rPr>
        <w:t>支出决算</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；公务接待费支出决算增加</w:t>
      </w:r>
      <w:r>
        <w:rPr>
          <w:rFonts w:hint="eastAsia" w:ascii="仿宋_GB2312" w:hAnsi="仿宋_GB2312" w:eastAsia="仿宋_GB2312" w:cs="仿宋_GB2312"/>
          <w:color w:val="000000" w:themeColor="text1"/>
          <w:sz w:val="30"/>
          <w:lang w:val="zh-CN"/>
          <w14:textFill>
            <w14:solidFill>
              <w14:schemeClr w14:val="tx1"/>
            </w14:solidFill>
          </w14:textFill>
        </w:rPr>
        <w:t>315.00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315.00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lang w:val="en-US" w:eastAsia="zh-CN"/>
          <w14:textFill>
            <w14:solidFill>
              <w14:schemeClr w14:val="tx1"/>
            </w14:solidFill>
          </w14:textFill>
        </w:rPr>
        <w:t>2025年度</w:t>
      </w: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一般公共预算财政拨款“三公”经费支出决算增加的主要原因</w:t>
      </w:r>
      <w:r>
        <w:rPr>
          <w:rFonts w:hint="eastAsia" w:ascii="仿宋_GB2312" w:eastAsia="仿宋_GB2312"/>
          <w:color w:val="000000" w:themeColor="text1"/>
          <w:sz w:val="30"/>
          <w:szCs w:val="30"/>
          <w:highlight w:val="none"/>
          <w:lang w:eastAsia="zh-CN"/>
          <w14:textFill>
            <w14:solidFill>
              <w14:schemeClr w14:val="tx1"/>
            </w14:solidFill>
          </w14:textFill>
        </w:rPr>
        <w:t>是本年度单位无</w:t>
      </w:r>
      <w:r>
        <w:rPr>
          <w:rFonts w:hint="eastAsia" w:ascii="仿宋_GB2312" w:eastAsia="仿宋_GB2312"/>
          <w:color w:val="000000" w:themeColor="text1"/>
          <w:sz w:val="30"/>
          <w:szCs w:val="30"/>
          <w:highlight w:val="none"/>
          <w14:textFill>
            <w14:solidFill>
              <w14:schemeClr w14:val="tx1"/>
            </w14:solidFill>
          </w14:textFill>
        </w:rPr>
        <w:t>因公出国（境）费</w:t>
      </w:r>
      <w:r>
        <w:rPr>
          <w:rFonts w:hint="eastAsia" w:ascii="仿宋_GB2312" w:eastAsia="仿宋_GB2312"/>
          <w:color w:val="000000" w:themeColor="text1"/>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公务用车购置费</w:t>
      </w:r>
      <w:r>
        <w:rPr>
          <w:rFonts w:hint="eastAsia" w:ascii="仿宋_GB2312" w:eastAsia="仿宋_GB2312"/>
          <w:color w:val="000000" w:themeColor="text1"/>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运行维护费、只有</w:t>
      </w:r>
      <w:r>
        <w:rPr>
          <w:rFonts w:hint="eastAsia" w:ascii="仿宋_GB2312" w:eastAsia="仿宋_GB2312"/>
          <w:color w:val="000000" w:themeColor="text1"/>
          <w:sz w:val="30"/>
          <w:szCs w:val="30"/>
          <w:highlight w:val="none"/>
          <w:lang w:val="en-US" w:eastAsia="zh-CN"/>
          <w14:textFill>
            <w14:solidFill>
              <w14:schemeClr w14:val="tx1"/>
            </w14:solidFill>
          </w14:textFill>
        </w:rPr>
        <w:t>1次</w:t>
      </w:r>
      <w:r>
        <w:rPr>
          <w:rFonts w:hint="eastAsia" w:ascii="仿宋_GB2312" w:eastAsia="仿宋_GB2312"/>
          <w:color w:val="000000" w:themeColor="text1"/>
          <w:sz w:val="30"/>
          <w:szCs w:val="30"/>
          <w:highlight w:val="none"/>
          <w14:textFill>
            <w14:solidFill>
              <w14:schemeClr w14:val="tx1"/>
            </w14:solidFill>
          </w14:textFill>
        </w:rPr>
        <w:t>公务接待费</w:t>
      </w:r>
      <w:r>
        <w:rPr>
          <w:rFonts w:hint="eastAsia" w:ascii="仿宋_GB2312" w:eastAsia="仿宋_GB2312"/>
          <w:color w:val="000000" w:themeColor="text1"/>
          <w:sz w:val="30"/>
          <w:szCs w:val="30"/>
          <w:highlight w:val="none"/>
          <w:lang w:eastAsia="zh-CN"/>
          <w14:textFill>
            <w14:solidFill>
              <w14:schemeClr w14:val="tx1"/>
            </w14:solidFill>
          </w14:textFill>
        </w:rPr>
        <w:t>支出。</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pPr>
        <w:widowControl/>
        <w:snapToGrid w:val="0"/>
        <w:spacing w:before="100" w:after="100" w:line="360" w:lineRule="auto"/>
        <w:ind w:firstLine="600" w:firstLineChars="200"/>
        <w:jc w:val="both"/>
        <w:rPr>
          <w:rFonts w:hint="eastAsia" w:ascii="仿宋_GB2312" w:eastAsia="仿宋_GB2312"/>
          <w:b w:val="0"/>
          <w:bCs/>
          <w:sz w:val="30"/>
          <w:szCs w:val="30"/>
          <w:highlight w:val="none"/>
        </w:rPr>
      </w:pPr>
      <w:r>
        <w:rPr>
          <w:rFonts w:hint="eastAsia" w:ascii="仿宋_GB2312" w:eastAsia="仿宋_GB2312"/>
          <w:b w:val="0"/>
          <w:bCs/>
          <w:sz w:val="30"/>
          <w:szCs w:val="30"/>
          <w:highlight w:val="none"/>
        </w:rPr>
        <w:t>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r>
        <w:rPr>
          <w:rFonts w:hint="eastAsia" w:ascii="仿宋_GB2312" w:eastAsia="仿宋_GB2312"/>
          <w:b w:val="0"/>
          <w:bCs/>
          <w:sz w:val="30"/>
          <w:szCs w:val="30"/>
          <w:highlight w:val="none"/>
          <w:lang w:val="en-US" w:eastAsia="zh-CN"/>
        </w:rPr>
        <w:t>2025年，华宁县建设工程质量监督管理站无</w:t>
      </w:r>
      <w:r>
        <w:rPr>
          <w:rFonts w:hint="eastAsia" w:ascii="仿宋_GB2312" w:eastAsia="仿宋_GB2312"/>
          <w:b w:val="0"/>
          <w:bCs/>
          <w:sz w:val="30"/>
          <w:szCs w:val="30"/>
          <w:highlight w:val="none"/>
        </w:rPr>
        <w:t>因公出国（境）</w:t>
      </w:r>
      <w:r>
        <w:rPr>
          <w:rFonts w:hint="eastAsia" w:ascii="仿宋_GB2312" w:eastAsia="仿宋_GB2312"/>
          <w:b w:val="0"/>
          <w:bCs/>
          <w:sz w:val="30"/>
          <w:szCs w:val="30"/>
          <w:highlight w:val="none"/>
          <w:lang w:eastAsia="zh-CN"/>
        </w:rPr>
        <w:t>支出</w:t>
      </w:r>
      <w:r>
        <w:rPr>
          <w:rFonts w:hint="eastAsia" w:ascii="仿宋_GB2312" w:eastAsia="仿宋_GB2312"/>
          <w:b w:val="0"/>
          <w:bCs/>
          <w:sz w:val="30"/>
          <w:szCs w:val="30"/>
          <w:highlight w:val="none"/>
        </w:rPr>
        <w:t>。</w:t>
      </w:r>
    </w:p>
    <w:p>
      <w:pPr>
        <w:widowControl/>
        <w:snapToGrid w:val="0"/>
        <w:spacing w:before="100" w:after="100" w:line="360" w:lineRule="auto"/>
        <w:ind w:firstLine="600" w:firstLineChars="200"/>
        <w:jc w:val="both"/>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r>
        <w:rPr>
          <w:rFonts w:hint="eastAsia" w:ascii="仿宋_GB2312" w:eastAsia="仿宋_GB2312"/>
          <w:b w:val="0"/>
          <w:bCs/>
          <w:sz w:val="30"/>
          <w:szCs w:val="30"/>
          <w:highlight w:val="none"/>
          <w:lang w:val="en-US" w:eastAsia="zh-CN"/>
        </w:rPr>
        <w:t>2025年，华宁县建设工程质量监督管理站无</w:t>
      </w:r>
      <w:r>
        <w:rPr>
          <w:rFonts w:hint="eastAsia" w:ascii="仿宋_GB2312" w:eastAsia="仿宋_GB2312"/>
          <w:b w:val="0"/>
          <w:bCs/>
          <w:sz w:val="30"/>
          <w:szCs w:val="30"/>
          <w:highlight w:val="none"/>
          <w:lang w:eastAsia="zh-CN"/>
        </w:rPr>
        <w:t>公务用车运行费支出</w:t>
      </w:r>
      <w:r>
        <w:rPr>
          <w:rFonts w:hint="eastAsia" w:ascii="仿宋_GB2312" w:eastAsia="仿宋_GB2312"/>
          <w:b w:val="0"/>
          <w:bCs/>
          <w:sz w:val="30"/>
          <w:szCs w:val="30"/>
          <w:highlight w:val="none"/>
        </w:rPr>
        <w:t>。</w:t>
      </w:r>
    </w:p>
    <w:p>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1</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5</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人）。主要用于</w:t>
      </w:r>
      <w:r>
        <w:rPr>
          <w:rFonts w:hint="eastAsia" w:ascii="仿宋_GB2312" w:eastAsia="仿宋_GB2312"/>
          <w:sz w:val="30"/>
          <w:szCs w:val="30"/>
          <w:highlight w:val="none"/>
          <w:lang w:eastAsia="zh-CN"/>
        </w:rPr>
        <w:t>上级部门检查工作</w:t>
      </w:r>
      <w:r>
        <w:rPr>
          <w:rFonts w:hint="eastAsia" w:ascii="仿宋_GB2312" w:eastAsia="仿宋_GB2312"/>
          <w:sz w:val="30"/>
          <w:szCs w:val="30"/>
          <w:highlight w:val="none"/>
        </w:rPr>
        <w:t>发生的接待支出</w:t>
      </w:r>
      <w:r>
        <w:rPr>
          <w:rFonts w:hint="eastAsia" w:ascii="仿宋_GB2312" w:eastAsia="仿宋_GB2312"/>
          <w:sz w:val="30"/>
          <w:szCs w:val="30"/>
          <w:highlight w:val="none"/>
          <w:lang w:val="en-US" w:eastAsia="zh-CN"/>
        </w:rPr>
        <w:t>315.00元</w:t>
      </w:r>
      <w:r>
        <w:rPr>
          <w:rFonts w:hint="eastAsia" w:ascii="仿宋_GB2312" w:eastAsia="仿宋_GB2312"/>
          <w:sz w:val="30"/>
          <w:szCs w:val="30"/>
          <w:highlight w:val="none"/>
        </w:rPr>
        <w:t>。安排国（境）外公务接待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2025年，</w:t>
      </w:r>
      <w:r>
        <w:rPr>
          <w:rFonts w:hint="eastAsia" w:ascii="仿宋_GB2312" w:eastAsia="仿宋_GB2312"/>
          <w:b w:val="0"/>
          <w:bCs/>
          <w:sz w:val="30"/>
          <w:szCs w:val="30"/>
          <w:highlight w:val="none"/>
          <w:lang w:val="en-US" w:eastAsia="zh-CN"/>
        </w:rPr>
        <w:t>华宁县建设工程质量监督管理站无</w:t>
      </w:r>
      <w:r>
        <w:rPr>
          <w:rFonts w:hint="eastAsia" w:ascii="仿宋_GB2312" w:eastAsia="仿宋_GB2312"/>
          <w:sz w:val="30"/>
          <w:szCs w:val="30"/>
          <w:highlight w:val="none"/>
        </w:rPr>
        <w:t>国（境）外公务接待</w:t>
      </w:r>
      <w:r>
        <w:rPr>
          <w:rFonts w:hint="eastAsia" w:ascii="仿宋_GB2312" w:eastAsia="仿宋_GB2312"/>
          <w:sz w:val="30"/>
          <w:szCs w:val="30"/>
          <w:highlight w:val="none"/>
          <w:lang w:eastAsia="zh-CN"/>
        </w:rPr>
        <w:t>支出</w:t>
      </w:r>
      <w:r>
        <w:rPr>
          <w:rFonts w:hint="eastAsia" w:ascii="仿宋_GB2312" w:eastAsia="仿宋_GB2312"/>
          <w:sz w:val="30"/>
          <w:szCs w:val="30"/>
          <w:highlight w:val="none"/>
        </w:rPr>
        <w:t>。</w:t>
      </w:r>
    </w:p>
    <w:p>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华宁县建设工程质量监督管理站“不存在需要说明的事项”。</w:t>
      </w:r>
    </w:p>
    <w:p>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ind w:firstLine="600" w:firstLineChars="200"/>
        <w:jc w:val="both"/>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华宁县建设工程质量监督管理站</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主要原因是</w:t>
      </w:r>
      <w:r>
        <w:rPr>
          <w:rFonts w:hint="eastAsia" w:ascii="仿宋_GB2312" w:hAnsi="仿宋_GB2312" w:eastAsia="仿宋_GB2312" w:cs="仿宋_GB2312"/>
          <w:color w:val="auto"/>
          <w:sz w:val="30"/>
          <w:lang w:val="zh-CN"/>
        </w:rPr>
        <w:t>建设工程质量监督管理站</w:t>
      </w:r>
      <w:r>
        <w:rPr>
          <w:rFonts w:hint="eastAsia" w:ascii="仿宋_GB2312" w:hAnsi="黑体" w:eastAsia="仿宋_GB2312" w:cs="方正小标宋简体"/>
          <w:sz w:val="30"/>
          <w:szCs w:val="30"/>
          <w:highlight w:val="none"/>
          <w:lang w:eastAsia="zh-CN"/>
        </w:rPr>
        <w:t>为其他事业单位，无机关运行经费</w:t>
      </w:r>
      <w:r>
        <w:rPr>
          <w:rFonts w:hint="eastAsia" w:ascii="仿宋_GB2312" w:hAnsi="黑体" w:eastAsia="仿宋_GB2312" w:cs="方正小标宋简体"/>
          <w:sz w:val="30"/>
          <w:szCs w:val="30"/>
          <w:highlight w:val="none"/>
        </w:rPr>
        <w:t>。</w:t>
      </w:r>
    </w:p>
    <w:p>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华宁县建设工程质量监督管理站</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30889.85</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7535.89</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23353.96</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52191.62</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，其中固定资产增加</w:t>
      </w:r>
      <w:r>
        <w:rPr>
          <w:rFonts w:hint="eastAsia" w:ascii="仿宋_GB2312" w:hAnsi="黑体" w:eastAsia="仿宋_GB2312" w:cs="方正小标宋简体"/>
          <w:color w:val="000000"/>
          <w:kern w:val="0"/>
          <w:sz w:val="30"/>
          <w:szCs w:val="30"/>
          <w:highlight w:val="none"/>
          <w:lang w:val="en-US" w:eastAsia="zh-CN"/>
        </w:rPr>
        <w:t>11400.00</w:t>
      </w:r>
      <w:bookmarkStart w:id="1" w:name="_GoBack"/>
      <w:bookmarkEnd w:id="1"/>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7"/>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tblPrEx>
          <w:tblLayout w:type="fixed"/>
          <w:tblCellMar>
            <w:top w:w="0" w:type="dxa"/>
            <w:left w:w="0" w:type="dxa"/>
            <w:bottom w:w="0" w:type="dxa"/>
            <w:right w:w="0" w:type="dxa"/>
          </w:tblCellMar>
        </w:tblPrEx>
        <w:trPr>
          <w:trHeight w:val="49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7"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1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9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58"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563"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95" w:hRule="atLeast"/>
        </w:trPr>
        <w:tc>
          <w:tcPr>
            <w:tcW w:w="142" w:type="dxa"/>
            <w:vAlign w:val="center"/>
          </w:tcPr>
          <w:p>
            <w:pPr>
              <w:widowControl/>
              <w:jc w:val="left"/>
              <w:rPr>
                <w:rFonts w:ascii="Times New Roman" w:hAnsi="Times New Roman" w:eastAsia="Times New Roman"/>
                <w:kern w:val="0"/>
                <w:sz w:val="20"/>
                <w:szCs w:val="20"/>
                <w:highlight w:val="none"/>
              </w:rPr>
            </w:pPr>
          </w:p>
        </w:tc>
      </w:tr>
    </w:tbl>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11400.00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11400.00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ind w:firstLine="600" w:firstLineChars="200"/>
        <w:rPr>
          <w:rFonts w:hint="default" w:ascii="仿宋_GB2312" w:hAnsi="仿宋_GB2312" w:eastAsia="仿宋_GB2312" w:cs="仿宋_GB2312"/>
          <w:sz w:val="30"/>
          <w:szCs w:val="30"/>
          <w:highlight w:val="none"/>
          <w:lang w:val="en-US" w:eastAsia="zh-CN"/>
        </w:rPr>
      </w:pPr>
      <w:r>
        <w:rPr>
          <w:rFonts w:hint="default" w:ascii="仿宋_GB2312" w:hAnsi="仿宋_GB2312" w:eastAsia="仿宋_GB2312" w:cs="仿宋_GB2312"/>
          <w:sz w:val="30"/>
          <w:szCs w:val="30"/>
          <w:highlight w:val="none"/>
          <w:lang w:val="en-US" w:eastAsia="zh-CN"/>
        </w:rPr>
        <w:t>本单位无其他重要事项</w:t>
      </w:r>
      <w:r>
        <w:rPr>
          <w:rFonts w:hint="eastAsia" w:ascii="仿宋_GB2312" w:hAnsi="仿宋_GB2312" w:eastAsia="仿宋_GB2312" w:cs="仿宋_GB2312"/>
          <w:sz w:val="30"/>
          <w:szCs w:val="30"/>
          <w:highlight w:val="none"/>
          <w:lang w:val="en-US" w:eastAsia="zh-CN"/>
        </w:rPr>
        <w:t>。</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部门决算</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val="en-US" w:eastAsia="zh-CN"/>
        </w:rPr>
        <w:t>:</w:t>
      </w:r>
      <w:r>
        <w:rPr>
          <w:rFonts w:hint="eastAsia" w:ascii="仿宋_GB2312" w:hAnsi="黑体" w:eastAsia="仿宋_GB2312" w:cs="方正小标宋简体"/>
          <w:sz w:val="30"/>
          <w:szCs w:val="30"/>
          <w:highlight w:val="none"/>
          <w:lang w:eastAsia="zh-CN"/>
        </w:rPr>
        <w:t>各部门依据国家有关法律法规规定及其履行职能情况编制，反映部门和单位所有预算收支和结余执行结果及绩效等情况的综合性年度报告，是改进部门预算执行以及编制后续年度部门预算的参考和依据。</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【政府采购】</w:t>
      </w:r>
      <w:r>
        <w:rPr>
          <w:rFonts w:hint="eastAsia" w:ascii="仿宋_GB2312" w:hAnsi="黑体" w:eastAsia="仿宋_GB2312" w:cs="方正小标宋简体"/>
          <w:sz w:val="30"/>
          <w:szCs w:val="30"/>
          <w:highlight w:val="none"/>
          <w:lang w:val="en-US" w:eastAsia="zh-CN"/>
        </w:rPr>
        <w:t>:</w:t>
      </w:r>
      <w:r>
        <w:rPr>
          <w:rFonts w:hint="eastAsia" w:ascii="仿宋_GB2312" w:hAnsi="黑体" w:eastAsia="仿宋_GB2312" w:cs="方正小标宋简体"/>
          <w:sz w:val="30"/>
          <w:szCs w:val="30"/>
          <w:highlight w:val="none"/>
        </w:rPr>
        <w:t>是指各级国家机关、事业单位和团体组织，使用财政性资金采购依法制定的集中采购目录以内的或者采购限额标准以上的货物、工程和服务的行为。</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【一般公共预算收入】</w:t>
      </w:r>
      <w:r>
        <w:rPr>
          <w:rFonts w:hint="eastAsia" w:ascii="仿宋_GB2312" w:hAnsi="黑体" w:eastAsia="仿宋_GB2312" w:cs="方正小标宋简体"/>
          <w:sz w:val="30"/>
          <w:szCs w:val="30"/>
          <w:highlight w:val="none"/>
          <w:lang w:val="en-US" w:eastAsia="zh-CN"/>
        </w:rPr>
        <w:t>:</w:t>
      </w:r>
      <w:r>
        <w:rPr>
          <w:rFonts w:hint="eastAsia" w:ascii="仿宋_GB2312" w:hAnsi="黑体" w:eastAsia="仿宋_GB2312" w:cs="方正小标宋简体"/>
          <w:sz w:val="30"/>
          <w:szCs w:val="30"/>
          <w:highlight w:val="none"/>
        </w:rPr>
        <w:t>是指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【一般公共预算支出】</w:t>
      </w:r>
      <w:r>
        <w:rPr>
          <w:rFonts w:hint="eastAsia" w:ascii="仿宋_GB2312" w:hAnsi="黑体" w:eastAsia="仿宋_GB2312" w:cs="方正小标宋简体"/>
          <w:sz w:val="30"/>
          <w:szCs w:val="30"/>
          <w:highlight w:val="none"/>
          <w:lang w:val="en-US" w:eastAsia="zh-CN"/>
        </w:rPr>
        <w:t>:</w:t>
      </w:r>
      <w:r>
        <w:rPr>
          <w:rFonts w:hint="eastAsia" w:ascii="仿宋_GB2312" w:hAnsi="黑体" w:eastAsia="仿宋_GB2312" w:cs="方正小标宋简体"/>
          <w:sz w:val="30"/>
          <w:szCs w:val="30"/>
          <w:highlight w:val="none"/>
        </w:rPr>
        <w:t>是指一般公共预算支出是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物、住房保障支出等。</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【“三公”经费】</w:t>
      </w:r>
      <w:r>
        <w:rPr>
          <w:rFonts w:hint="eastAsia" w:ascii="仿宋_GB2312" w:hAnsi="黑体" w:eastAsia="仿宋_GB2312" w:cs="方正小标宋简体"/>
          <w:sz w:val="30"/>
          <w:szCs w:val="30"/>
          <w:highlight w:val="none"/>
          <w:lang w:val="en-US" w:eastAsia="zh-CN"/>
        </w:rPr>
        <w:t>:</w:t>
      </w:r>
      <w:r>
        <w:rPr>
          <w:rFonts w:hint="eastAsia" w:ascii="仿宋_GB2312" w:hAnsi="黑体" w:eastAsia="仿宋_GB2312" w:cs="方正小标宋简体"/>
          <w:sz w:val="30"/>
          <w:szCs w:val="30"/>
          <w:highlight w:val="none"/>
        </w:rPr>
        <w:t>“三公”经费预算数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0AFF" w:usb1="40007843" w:usb2="00000001" w:usb3="00000000" w:csb0="400001BF" w:csb1="DFF7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5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3000509000000000000"/>
    <w:charset w:val="86"/>
    <w:family w:val="script"/>
    <w:pitch w:val="default"/>
    <w:sig w:usb0="00000000" w:usb1="00000000" w:usb2="00000000" w:usb3="00000000" w:csb0="00040000" w:csb1="00000000"/>
  </w:font>
  <w:font w:name="楷体">
    <w:altName w:val="宋体"/>
    <w:panose1 w:val="02010609060101010101"/>
    <w:charset w:val="86"/>
    <w:family w:val="modern"/>
    <w:pitch w:val="default"/>
    <w:sig w:usb0="00000000" w:usb1="00000000" w:usb2="00000016" w:usb3="00000000" w:csb0="00040001" w:csb1="00000000"/>
  </w:font>
  <w:font w:name="楷体_GB2312">
    <w:altName w:val="微软雅黑"/>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2000000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国标黑体">
    <w:altName w:val="宋体"/>
    <w:panose1 w:val="02000500000000000000"/>
    <w:charset w:val="86"/>
    <w:family w:val="auto"/>
    <w:pitch w:val="default"/>
    <w:sig w:usb0="00000000" w:usb1="00000000" w:usb2="00000000" w:usb3="00000000" w:csb0="00060007" w:csb1="00000000"/>
  </w:font>
  <w:font w:name="Calibri Light">
    <w:panose1 w:val="020F0302020204030204"/>
    <w:charset w:val="00"/>
    <w:family w:val="auto"/>
    <w:pitch w:val="default"/>
    <w:sig w:usb0="A00002EF" w:usb1="4000207B" w:usb2="00000000" w:usb3="00000000" w:csb0="2000019F" w:csb1="00000000"/>
  </w:font>
  <w:font w:name="Arial">
    <w:panose1 w:val="020B0604020202020204"/>
    <w:charset w:val="00"/>
    <w:family w:val="swiss"/>
    <w:pitch w:val="default"/>
    <w:sig w:usb0="E0000AFF" w:usb1="00007843" w:usb2="00000001" w:usb3="00000000" w:csb0="400001BF" w:csb1="DFF70000"/>
  </w:font>
  <w:font w:name="华文中宋">
    <w:altName w:val="宋体"/>
    <w:panose1 w:val="02010600040101010101"/>
    <w:charset w:val="00"/>
    <w:family w:val="auto"/>
    <w:pitch w:val="default"/>
    <w:sig w:usb0="00000000" w:usb1="00000000" w:usb2="00000000" w:usb3="00000000" w:csb0="0004009F" w:csb1="DFD70000"/>
  </w:font>
  <w:font w:name="仿宋">
    <w:altName w:val="仿宋_GB2312"/>
    <w:panose1 w:val="02010609060101010101"/>
    <w:charset w:val="86"/>
    <w:family w:val="modern"/>
    <w:pitch w:val="default"/>
    <w:sig w:usb0="00000000" w:usb1="00000000" w:usb2="00000016" w:usb3="00000000" w:csb0="00040001" w:csb1="00000000"/>
  </w:font>
  <w:font w:name="新宋体">
    <w:panose1 w:val="02010609030101010101"/>
    <w:charset w:val="86"/>
    <w:family w:val="auto"/>
    <w:pitch w:val="default"/>
    <w:sig w:usb0="00000003" w:usb1="288F0000" w:usb2="00000006" w:usb3="00000000" w:csb0="00040001" w:csb1="00000000"/>
  </w:font>
  <w:font w:name="SimSun-ExtB">
    <w:panose1 w:val="02010609060101010101"/>
    <w:charset w:val="86"/>
    <w:family w:val="auto"/>
    <w:pitch w:val="default"/>
    <w:sig w:usb0="00000001" w:usb1="02000000" w:usb2="00000000" w:usb3="00000000" w:csb0="00040001" w:csb1="00000000"/>
  </w:font>
  <w:font w:name="yyb">
    <w:panose1 w:val="020B0200000000000000"/>
    <w:charset w:val="86"/>
    <w:family w:val="auto"/>
    <w:pitch w:val="default"/>
    <w:sig w:usb0="20000083" w:usb1="10000000" w:usb2="00000016" w:usb3="00000000" w:csb0="60060107" w:csb1="00000000"/>
  </w:font>
  <w:font w:name="Candara">
    <w:panose1 w:val="020E0502030303020204"/>
    <w:charset w:val="00"/>
    <w:family w:val="auto"/>
    <w:pitch w:val="default"/>
    <w:sig w:usb0="A00002EF" w:usb1="4000A44B" w:usb2="00000000" w:usb3="00000000" w:csb0="2000019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Style w:val="6"/>
                            </w:rPr>
                          </w:pPr>
                          <w:r>
                            <w:rPr>
                              <w:rStyle w:val="6"/>
                              <w:sz w:val="28"/>
                              <w:szCs w:val="28"/>
                            </w:rPr>
                            <w:fldChar w:fldCharType="begin"/>
                          </w:r>
                          <w:r>
                            <w:rPr>
                              <w:rStyle w:val="6"/>
                              <w:sz w:val="28"/>
                              <w:szCs w:val="28"/>
                            </w:rPr>
                            <w:instrText xml:space="preserve">PAGE  </w:instrText>
                          </w:r>
                          <w:r>
                            <w:rPr>
                              <w:sz w:val="28"/>
                              <w:szCs w:val="28"/>
                            </w:rPr>
                            <w:fldChar w:fldCharType="separate"/>
                          </w:r>
                          <w:r>
                            <w:rPr>
                              <w:rStyle w:val="6"/>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hpgkvTAAAA&#10;BQEAAA8AAAAAAAAAAQAgAAAAIgAAAGRycy9kb3ducmV2LnhtbFBLAQIUABQAAAAIAIdO4kCY3bFM&#10;sAEAAEkDAAAOAAAAAAAAAAEAIAAAACIBAABkcnMvZTJvRG9jLnhtbFBLBQYAAAAABgAGAFkBAABE&#10;BQAAAAA=&#10;">
              <v:fill on="f" focussize="0,0"/>
              <v:stroke on="f" weight="1.25pt"/>
              <v:imagedata o:title=""/>
              <o:lock v:ext="edit" aspectratio="f"/>
              <v:textbox inset="0mm,0mm,0mm,0mm" style="mso-fit-shape-to-text:t;">
                <w:txbxContent>
                  <w:p>
                    <w:pPr>
                      <w:pStyle w:val="3"/>
                      <w:rPr>
                        <w:rStyle w:val="6"/>
                      </w:rPr>
                    </w:pPr>
                    <w:r>
                      <w:rPr>
                        <w:rStyle w:val="6"/>
                        <w:sz w:val="28"/>
                        <w:szCs w:val="28"/>
                      </w:rPr>
                      <w:fldChar w:fldCharType="begin"/>
                    </w:r>
                    <w:r>
                      <w:rPr>
                        <w:rStyle w:val="6"/>
                        <w:sz w:val="28"/>
                        <w:szCs w:val="28"/>
                      </w:rPr>
                      <w:instrText xml:space="preserve">PAGE  </w:instrText>
                    </w:r>
                    <w:r>
                      <w:rPr>
                        <w:sz w:val="28"/>
                        <w:szCs w:val="28"/>
                      </w:rPr>
                      <w:fldChar w:fldCharType="separate"/>
                    </w:r>
                    <w:r>
                      <w:rPr>
                        <w:rStyle w:val="6"/>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rPr>
        <w:rStyle w:val="6"/>
      </w:rPr>
      <w:fldChar w:fldCharType="begin"/>
    </w:r>
    <w:r>
      <w:rPr>
        <w:rStyle w:val="6"/>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C6F304"/>
    <w:multiLevelType w:val="singleLevel"/>
    <w:tmpl w:val="CFC6F304"/>
    <w:lvl w:ilvl="0" w:tentative="0">
      <w:start w:val="1"/>
      <w:numFmt w:val="chineseCounting"/>
      <w:suff w:val="nothing"/>
      <w:lvlText w:val="（%1）"/>
      <w:lvlJc w:val="left"/>
      <w:rPr>
        <w:rFonts w:hint="eastAsia"/>
        <w:lang w:val="en-US"/>
      </w:rPr>
    </w:lvl>
  </w:abstractNum>
  <w:abstractNum w:abstractNumId="1">
    <w:nsid w:val="6AB38AFF"/>
    <w:multiLevelType w:val="singleLevel"/>
    <w:tmpl w:val="6AB38AFF"/>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8269B"/>
    <w:rsid w:val="01EF09A1"/>
    <w:rsid w:val="04126086"/>
    <w:rsid w:val="044A7978"/>
    <w:rsid w:val="04BD628C"/>
    <w:rsid w:val="054E7CFE"/>
    <w:rsid w:val="05593320"/>
    <w:rsid w:val="06754B83"/>
    <w:rsid w:val="06AB054C"/>
    <w:rsid w:val="0745074B"/>
    <w:rsid w:val="074B6B61"/>
    <w:rsid w:val="079865F8"/>
    <w:rsid w:val="0B6F1A9F"/>
    <w:rsid w:val="0CA954B9"/>
    <w:rsid w:val="0F2F6FC7"/>
    <w:rsid w:val="12D96DEF"/>
    <w:rsid w:val="138538FB"/>
    <w:rsid w:val="19032844"/>
    <w:rsid w:val="1A4D0F16"/>
    <w:rsid w:val="1B2362C5"/>
    <w:rsid w:val="1C5B5F4F"/>
    <w:rsid w:val="1DE308C5"/>
    <w:rsid w:val="1E4C02CA"/>
    <w:rsid w:val="214209C2"/>
    <w:rsid w:val="214C4645"/>
    <w:rsid w:val="28153DA8"/>
    <w:rsid w:val="28750DD6"/>
    <w:rsid w:val="2B7D6B70"/>
    <w:rsid w:val="2B8D16D0"/>
    <w:rsid w:val="2F967E1F"/>
    <w:rsid w:val="2FF57DAB"/>
    <w:rsid w:val="306F2D95"/>
    <w:rsid w:val="30DF4316"/>
    <w:rsid w:val="324A2043"/>
    <w:rsid w:val="32596599"/>
    <w:rsid w:val="33993C58"/>
    <w:rsid w:val="36687842"/>
    <w:rsid w:val="37887B5C"/>
    <w:rsid w:val="393956AC"/>
    <w:rsid w:val="3D53779A"/>
    <w:rsid w:val="407E2304"/>
    <w:rsid w:val="42647F5F"/>
    <w:rsid w:val="43C85B62"/>
    <w:rsid w:val="470B476B"/>
    <w:rsid w:val="484D3ED0"/>
    <w:rsid w:val="495F4A68"/>
    <w:rsid w:val="4A286C07"/>
    <w:rsid w:val="4DC23B52"/>
    <w:rsid w:val="4DE4425A"/>
    <w:rsid w:val="50C668F6"/>
    <w:rsid w:val="52FA797F"/>
    <w:rsid w:val="555330DD"/>
    <w:rsid w:val="57B86FC9"/>
    <w:rsid w:val="57C278D8"/>
    <w:rsid w:val="58DB6982"/>
    <w:rsid w:val="63B80B20"/>
    <w:rsid w:val="669646B5"/>
    <w:rsid w:val="670673A4"/>
    <w:rsid w:val="697D629D"/>
    <w:rsid w:val="71C34701"/>
    <w:rsid w:val="71D02B2C"/>
    <w:rsid w:val="73331D27"/>
    <w:rsid w:val="74BD07A8"/>
    <w:rsid w:val="76122C5E"/>
    <w:rsid w:val="78686169"/>
    <w:rsid w:val="7A68229A"/>
    <w:rsid w:val="7C146BEF"/>
    <w:rsid w:val="7DFE5421"/>
  </w:rsids>
  <m:mathPr>
    <m:interSp m:val="0"/>
    <m:intraSp m:val="0"/>
    <m:lMargin m:val="0"/>
    <m:mathFont m:val="Cambria Math"/>
    <m:postSp m:val="0"/>
    <m:preSp m:val="0"/>
    <m:rMargin m:val="0"/>
    <m:wrapIndent m:val="1440"/>
    <m:brkBin m:val="before"/>
    <m:brkBinSub m:val="--"/>
    <m:defJc m:val="centerGroup"/>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9">
    <w:name w:val="p_NewStyle86"/>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47442e-493b-4f83-864e-7746367f4d6d}">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32</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Administrator</cp:lastModifiedBy>
  <cp:lastPrinted>2024-07-30T06:24:00Z</cp:lastPrinted>
  <dcterms:modified xsi:type="dcterms:W3CDTF">2026-09-28T10:20:05Z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ICV">
    <vt:lpwstr>D45296F7F2444F3C8CDB43DA2E9FADD3</vt:lpwstr>
  </property>
</Properties>
</file>