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7E3B1">
      <w:pPr>
        <w:widowControl/>
        <w:spacing w:before="86" w:line="360" w:lineRule="auto"/>
        <w:jc w:val="left"/>
        <w:rPr>
          <w:rFonts w:ascii="黑体" w:hAnsi="黑体" w:eastAsia="黑体" w:cs="黑体"/>
          <w:spacing w:val="10"/>
          <w:sz w:val="32"/>
          <w:szCs w:val="32"/>
        </w:rPr>
      </w:pPr>
      <w:r>
        <w:rPr>
          <w:rFonts w:hint="eastAsia" w:ascii="黑体" w:hAnsi="黑体" w:eastAsia="黑体" w:cs="黑体"/>
          <w:spacing w:val="10"/>
          <w:sz w:val="32"/>
          <w:szCs w:val="32"/>
        </w:rPr>
        <w:t>附件1</w:t>
      </w:r>
    </w:p>
    <w:p w14:paraId="1096D4F8">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云南省华宁县烟草制品零售点</w:t>
      </w:r>
    </w:p>
    <w:p w14:paraId="0574F581">
      <w:pPr>
        <w:snapToGrid w:val="0"/>
        <w:spacing w:line="317" w:lineRule="auto"/>
        <w:jc w:val="center"/>
        <w:rPr>
          <w:rFonts w:ascii="方正小标宋简体" w:eastAsia="方正小标宋简体"/>
          <w:sz w:val="44"/>
          <w:szCs w:val="44"/>
        </w:rPr>
      </w:pPr>
      <w:r>
        <w:rPr>
          <w:rFonts w:hint="eastAsia" w:ascii="方正小标宋简体" w:eastAsia="方正小标宋简体"/>
          <w:sz w:val="44"/>
          <w:szCs w:val="44"/>
        </w:rPr>
        <w:t>间距测量规则及标准</w:t>
      </w:r>
    </w:p>
    <w:p w14:paraId="72FB0D4F"/>
    <w:p w14:paraId="243A796D">
      <w:pPr>
        <w:widowControl/>
        <w:tabs>
          <w:tab w:val="left" w:pos="2723"/>
        </w:tabs>
        <w:adjustRightInd w:val="0"/>
        <w:snapToGrid w:val="0"/>
        <w:spacing w:before="86"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根据云南省华宁县辖区实际情况，现明确《云南省华宁县烟草制品零售点合理布局规划》第</w:t>
      </w:r>
      <w:r>
        <w:rPr>
          <w:rFonts w:hint="eastAsia" w:ascii="仿宋_GB2312" w:hAnsi="仿宋_GB2312" w:eastAsia="仿宋_GB2312" w:cs="仿宋_GB2312"/>
          <w:spacing w:val="10"/>
          <w:sz w:val="32"/>
          <w:szCs w:val="32"/>
          <w:lang w:val="en-US" w:eastAsia="zh-CN"/>
        </w:rPr>
        <w:t>八</w:t>
      </w:r>
      <w:bookmarkStart w:id="2" w:name="_GoBack"/>
      <w:bookmarkEnd w:id="2"/>
      <w:r>
        <w:rPr>
          <w:rFonts w:hint="eastAsia" w:ascii="仿宋_GB2312" w:hAnsi="仿宋_GB2312" w:eastAsia="仿宋_GB2312" w:cs="仿宋_GB2312"/>
          <w:spacing w:val="10"/>
          <w:sz w:val="32"/>
          <w:szCs w:val="32"/>
        </w:rPr>
        <w:t>条中有关的“零售点间距”测量规则及标准如下：</w:t>
      </w:r>
    </w:p>
    <w:p w14:paraId="72510976">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一、测量规则</w:t>
      </w:r>
    </w:p>
    <w:p w14:paraId="29E4DCEB">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（一）现场核查零售点间距的测量以“可安全步行最短距离”为总体原则，其他未穷尽列举的情形均参照本原则测量。</w:t>
      </w:r>
    </w:p>
    <w:p w14:paraId="4BFBF052">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（二）应当使用符合国家距离测量标准的测量工具。</w:t>
      </w:r>
    </w:p>
    <w:p w14:paraId="1B3F6889">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（三）“零售点间距”是指申请点与参照零售点（周边已设最近的零售点）之间按“门边到门边”原则进行测量。测量数据精确到小数点后一位，如“30.0米”或“100.0米”。</w:t>
      </w:r>
    </w:p>
    <w:p w14:paraId="6A9A1513">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四）实地测量时，由两名及以上烟草专卖执法核查人员在申请人或代理人现场见证下完成。最后由申请人或代理人对测量工具、测量过程、测量结果进行书面签字确认。申请人或代理人拒绝签字的，由核查人员在实地核查记录上注明情况，由见证人签字。测量过程应当全过程记录，包括但不限于文字记录和音像记录。</w:t>
      </w:r>
    </w:p>
    <w:p w14:paraId="34277AC8">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五）测量间距距离时，测量结果介于零售点间距距离的标准值正负百分之二范围以内的情况下，如果申请人、代理人或利害关系人对该结果有异议，可以申请重新实地测量一次，以最后一次测量结果为准。测量时，申请人或代理人、利害关系人和烟草专卖执法核查人员须同时全程在场。</w:t>
      </w:r>
    </w:p>
    <w:p w14:paraId="699E0E50">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（六）政府有关部门在街道或道路中设置的行人隔离带（栏）、绿化带等视为障碍物，测量时应当按道路交通规则绕行。</w:t>
      </w:r>
    </w:p>
    <w:p w14:paraId="6F981416">
      <w:pPr>
        <w:adjustRightInd w:val="0"/>
        <w:snapToGrid w:val="0"/>
        <w:spacing w:line="336" w:lineRule="auto"/>
        <w:ind w:firstLine="640" w:firstLineChars="200"/>
        <w:rPr>
          <w:rFonts w:ascii="仿宋_GB2312" w:eastAsia="仿宋_GB2312"/>
          <w:sz w:val="32"/>
          <w:szCs w:val="32"/>
        </w:rPr>
      </w:pPr>
      <w:r>
        <w:rPr>
          <w:rFonts w:hint="eastAsia" w:ascii="仿宋_GB2312" w:eastAsia="仿宋_GB2312"/>
          <w:sz w:val="32"/>
          <w:szCs w:val="32"/>
        </w:rPr>
        <w:t>（七）不视为障碍物的情形：在通行道路上临时设置的安全设施；临时放置的建筑材料、物品、车辆等；擅自设立、建造的建筑物、构筑物或其他物体等；以及因施工影响通行的围挡设施。</w:t>
      </w:r>
    </w:p>
    <w:p w14:paraId="384787F4">
      <w:pPr>
        <w:widowControl/>
        <w:adjustRightInd w:val="0"/>
        <w:snapToGrid w:val="0"/>
        <w:spacing w:before="86" w:line="336" w:lineRule="auto"/>
        <w:ind w:firstLine="640" w:firstLineChars="200"/>
        <w:jc w:val="left"/>
        <w:rPr>
          <w:rFonts w:ascii="黑体" w:hAnsi="黑体" w:eastAsia="黑体" w:cs="黑体"/>
          <w:sz w:val="32"/>
          <w:szCs w:val="32"/>
        </w:rPr>
      </w:pPr>
      <w:r>
        <w:rPr>
          <w:rFonts w:hint="eastAsia" w:ascii="黑体" w:hAnsi="黑体" w:eastAsia="黑体" w:cs="黑体"/>
          <w:sz w:val="32"/>
          <w:szCs w:val="32"/>
        </w:rPr>
        <w:t>二、测量标准</w:t>
      </w:r>
    </w:p>
    <w:p w14:paraId="2B376E23">
      <w:pPr>
        <w:pStyle w:val="3"/>
        <w:adjustRightInd w:val="0"/>
        <w:snapToGrid w:val="0"/>
        <w:spacing w:after="0" w:line="336"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（一）店面同一侧无障碍物距离测量示意图，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间距。（如图1）</w:t>
      </w:r>
    </w:p>
    <w:p w14:paraId="08890E08">
      <w:pPr>
        <w:pStyle w:val="3"/>
        <w:spacing w:after="0" w:line="360" w:lineRule="auto"/>
        <w:ind w:right="2"/>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970020" cy="1748155"/>
            <wp:effectExtent l="0" t="0" r="11430" b="4445"/>
            <wp:docPr id="23" name="图片 23" descr="微信图片_20231212104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31212104854"/>
                    <pic:cNvPicPr>
                      <a:picLocks noChangeAspect="1"/>
                    </pic:cNvPicPr>
                  </pic:nvPicPr>
                  <pic:blipFill>
                    <a:blip r:embed="rId5"/>
                    <a:stretch>
                      <a:fillRect/>
                    </a:stretch>
                  </pic:blipFill>
                  <pic:spPr>
                    <a:xfrm>
                      <a:off x="0" y="0"/>
                      <a:ext cx="3970020" cy="1748155"/>
                    </a:xfrm>
                    <a:prstGeom prst="rect">
                      <a:avLst/>
                    </a:prstGeom>
                  </pic:spPr>
                </pic:pic>
              </a:graphicData>
            </a:graphic>
          </wp:inline>
        </w:drawing>
      </w:r>
    </w:p>
    <w:p w14:paraId="0CEC102B">
      <w:pPr>
        <w:pStyle w:val="3"/>
        <w:spacing w:after="0" w:line="360" w:lineRule="auto"/>
        <w:ind w:left="420" w:leftChars="200" w:right="2"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图1</w:t>
      </w:r>
    </w:p>
    <w:p w14:paraId="5734EB21">
      <w:pPr>
        <w:pStyle w:val="3"/>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（二）店面同一侧有障碍物距离测量示意图，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间距=a+b+c+d+e。（如图2）</w:t>
      </w:r>
    </w:p>
    <w:p w14:paraId="242D42F5">
      <w:pPr>
        <w:pStyle w:val="3"/>
        <w:spacing w:after="0" w:line="360" w:lineRule="auto"/>
        <w:ind w:right="2" w:firstLine="643"/>
        <w:jc w:val="center"/>
        <w:rPr>
          <w:rFonts w:ascii="仿宋_GB2312" w:hAnsi="仿宋_GB2312" w:eastAsia="仿宋_GB2312" w:cs="仿宋_GB2312"/>
          <w:b/>
          <w:bCs/>
          <w:spacing w:val="10"/>
          <w:sz w:val="32"/>
          <w:szCs w:val="32"/>
        </w:rPr>
      </w:pPr>
      <w:r>
        <w:rPr>
          <w:rFonts w:hint="eastAsia" w:ascii="仿宋_GB2312" w:hAnsi="仿宋_GB2312" w:eastAsia="仿宋_GB2312" w:cs="仿宋_GB2312"/>
          <w:b/>
          <w:bCs/>
          <w:spacing w:val="10"/>
          <w:sz w:val="32"/>
          <w:szCs w:val="32"/>
        </w:rPr>
        <w:drawing>
          <wp:inline distT="0" distB="0" distL="114300" distR="114300">
            <wp:extent cx="5228590" cy="1883410"/>
            <wp:effectExtent l="0" t="0" r="0" b="2540"/>
            <wp:docPr id="13" name="图片 13" descr="95a3e317d608213e56999ba42982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95a3e317d608213e56999ba429828da"/>
                    <pic:cNvPicPr>
                      <a:picLocks noChangeAspect="1"/>
                    </pic:cNvPicPr>
                  </pic:nvPicPr>
                  <pic:blipFill>
                    <a:blip r:embed="rId6"/>
                    <a:stretch>
                      <a:fillRect/>
                    </a:stretch>
                  </pic:blipFill>
                  <pic:spPr>
                    <a:xfrm>
                      <a:off x="0" y="0"/>
                      <a:ext cx="5240217" cy="1887838"/>
                    </a:xfrm>
                    <a:prstGeom prst="rect">
                      <a:avLst/>
                    </a:prstGeom>
                  </pic:spPr>
                </pic:pic>
              </a:graphicData>
            </a:graphic>
          </wp:inline>
        </w:drawing>
      </w:r>
    </w:p>
    <w:p w14:paraId="776E6F0B">
      <w:pPr>
        <w:pStyle w:val="3"/>
        <w:spacing w:after="0" w:line="360" w:lineRule="auto"/>
        <w:ind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图2</w:t>
      </w:r>
    </w:p>
    <w:p w14:paraId="62A6E21E">
      <w:pPr>
        <w:pStyle w:val="3"/>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（三）申请点与参照零售点</w:t>
      </w:r>
      <w:r>
        <w:rPr>
          <w:rFonts w:hint="eastAsia" w:ascii="仿宋_GB2312" w:hAnsi="仿宋_GB2312" w:eastAsia="仿宋_GB2312" w:cs="仿宋_GB2312"/>
          <w:spacing w:val="10"/>
          <w:sz w:val="32"/>
          <w:szCs w:val="32"/>
        </w:rPr>
        <w:t>异侧无障碍物，且道路无隔离带（包括无任何禁止通行交通标志的路段或有可通行的单虚线）和斑马线情形，可安全步行的。</w:t>
      </w:r>
    </w:p>
    <w:p w14:paraId="50415676">
      <w:pPr>
        <w:pStyle w:val="3"/>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1</w:t>
      </w:r>
      <w:r>
        <w:rPr>
          <w:rFonts w:ascii="仿宋_GB2312" w:hAnsi="仿宋_GB2312" w:eastAsia="仿宋_GB2312" w:cs="仿宋_GB2312"/>
          <w:spacing w:val="10"/>
          <w:sz w:val="32"/>
          <w:szCs w:val="32"/>
        </w:rPr>
        <w:t>.</w:t>
      </w:r>
      <w:r>
        <w:rPr>
          <w:rFonts w:hint="eastAsia" w:ascii="仿宋_GB2312" w:hAnsi="仿宋_GB2312" w:eastAsia="仿宋_GB2312" w:cs="仿宋_GB2312"/>
          <w:spacing w:val="10"/>
          <w:sz w:val="32"/>
          <w:szCs w:val="32"/>
        </w:rPr>
        <w:t>申请点与参照零售点对称的，间距=a（如图3.1）</w:t>
      </w:r>
    </w:p>
    <w:p w14:paraId="759EDD08">
      <w:pPr>
        <w:pStyle w:val="3"/>
        <w:spacing w:after="0" w:line="360" w:lineRule="auto"/>
        <w:ind w:right="3" w:firstLine="64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934585" cy="2446020"/>
            <wp:effectExtent l="0" t="0" r="18415" b="11430"/>
            <wp:docPr id="2" name="图片 2" descr="63bdaea5065e1670b86833570500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63bdaea5065e1670b868335705003e0"/>
                    <pic:cNvPicPr>
                      <a:picLocks noChangeAspect="1"/>
                    </pic:cNvPicPr>
                  </pic:nvPicPr>
                  <pic:blipFill>
                    <a:blip r:embed="rId7"/>
                    <a:stretch>
                      <a:fillRect/>
                    </a:stretch>
                  </pic:blipFill>
                  <pic:spPr>
                    <a:xfrm>
                      <a:off x="0" y="0"/>
                      <a:ext cx="4934585" cy="2446020"/>
                    </a:xfrm>
                    <a:prstGeom prst="rect">
                      <a:avLst/>
                    </a:prstGeom>
                  </pic:spPr>
                </pic:pic>
              </a:graphicData>
            </a:graphic>
          </wp:inline>
        </w:drawing>
      </w:r>
    </w:p>
    <w:p w14:paraId="6A9278E2">
      <w:pPr>
        <w:pStyle w:val="3"/>
        <w:spacing w:after="0" w:line="360" w:lineRule="auto"/>
        <w:ind w:right="3"/>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图3.1</w:t>
      </w:r>
    </w:p>
    <w:p w14:paraId="10347568">
      <w:pPr>
        <w:pStyle w:val="3"/>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pacing w:val="10"/>
          <w:sz w:val="32"/>
          <w:szCs w:val="32"/>
        </w:rPr>
        <w:t>申请点与参照零售点不对称的，间距=b（如图3.2）</w:t>
      </w:r>
    </w:p>
    <w:p w14:paraId="4788E18F">
      <w:pPr>
        <w:pStyle w:val="3"/>
        <w:spacing w:after="0" w:line="360" w:lineRule="auto"/>
        <w:ind w:right="2"/>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5015865" cy="2638425"/>
            <wp:effectExtent l="0" t="0" r="13335" b="9525"/>
            <wp:docPr id="3" name="图片 3" descr="fae0954c900ff944af7dff9ce51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ae0954c900ff944af7dff9ce511727"/>
                    <pic:cNvPicPr>
                      <a:picLocks noChangeAspect="1"/>
                    </pic:cNvPicPr>
                  </pic:nvPicPr>
                  <pic:blipFill>
                    <a:blip r:embed="rId8"/>
                    <a:stretch>
                      <a:fillRect/>
                    </a:stretch>
                  </pic:blipFill>
                  <pic:spPr>
                    <a:xfrm>
                      <a:off x="0" y="0"/>
                      <a:ext cx="5015865" cy="2638425"/>
                    </a:xfrm>
                    <a:prstGeom prst="rect">
                      <a:avLst/>
                    </a:prstGeom>
                  </pic:spPr>
                </pic:pic>
              </a:graphicData>
            </a:graphic>
          </wp:inline>
        </w:drawing>
      </w:r>
    </w:p>
    <w:p w14:paraId="69420F6D">
      <w:pPr>
        <w:pStyle w:val="3"/>
        <w:spacing w:after="0" w:line="360" w:lineRule="auto"/>
        <w:ind w:left="420" w:leftChars="200" w:right="2" w:firstLine="68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pacing w:val="10"/>
          <w:sz w:val="32"/>
          <w:szCs w:val="32"/>
        </w:rPr>
        <w:t>图3.2</w:t>
      </w:r>
      <w:r>
        <w:rPr>
          <w:rFonts w:hint="eastAsia" w:ascii="仿宋_GB2312" w:hAnsi="仿宋_GB2312" w:eastAsia="仿宋_GB2312" w:cs="仿宋_GB2312"/>
          <w:sz w:val="32"/>
          <w:szCs w:val="32"/>
          <w:lang w:bidi="ug-CN"/>
        </w:rPr>
        <w:tab/>
      </w:r>
    </w:p>
    <w:p w14:paraId="2656B8B1">
      <w:pPr>
        <w:pStyle w:val="3"/>
        <w:spacing w:after="0" w:line="36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（四）申请点与参照零售点</w:t>
      </w:r>
      <w:r>
        <w:rPr>
          <w:rFonts w:hint="eastAsia" w:ascii="仿宋_GB2312" w:hAnsi="仿宋_GB2312" w:eastAsia="仿宋_GB2312" w:cs="仿宋_GB2312"/>
          <w:spacing w:val="10"/>
          <w:sz w:val="32"/>
          <w:szCs w:val="32"/>
        </w:rPr>
        <w:t>异侧存在障碍物的，测量按直角分段绕过障碍物测量，分段距离之和即为申请人的经营场所与最近零售点的经营场所间的距离。间距=a+b+c（如图4）</w:t>
      </w:r>
    </w:p>
    <w:p w14:paraId="67F82DF3">
      <w:pPr>
        <w:pStyle w:val="3"/>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rPr>
        <w:drawing>
          <wp:inline distT="0" distB="0" distL="114300" distR="114300">
            <wp:extent cx="5194300" cy="2531745"/>
            <wp:effectExtent l="0" t="0" r="6350" b="1905"/>
            <wp:docPr id="15" name="图片 15" descr="93bb69265f29e745628043b5bcf20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93bb69265f29e745628043b5bcf20da"/>
                    <pic:cNvPicPr>
                      <a:picLocks noChangeAspect="1"/>
                    </pic:cNvPicPr>
                  </pic:nvPicPr>
                  <pic:blipFill>
                    <a:blip r:embed="rId9"/>
                    <a:stretch>
                      <a:fillRect/>
                    </a:stretch>
                  </pic:blipFill>
                  <pic:spPr>
                    <a:xfrm>
                      <a:off x="0" y="0"/>
                      <a:ext cx="5194300" cy="2531745"/>
                    </a:xfrm>
                    <a:prstGeom prst="rect">
                      <a:avLst/>
                    </a:prstGeom>
                  </pic:spPr>
                </pic:pic>
              </a:graphicData>
            </a:graphic>
          </wp:inline>
        </w:drawing>
      </w:r>
    </w:p>
    <w:p w14:paraId="3707A057">
      <w:pPr>
        <w:pStyle w:val="3"/>
        <w:tabs>
          <w:tab w:val="left" w:pos="8197"/>
        </w:tabs>
        <w:spacing w:after="0" w:line="360" w:lineRule="auto"/>
        <w:ind w:right="3" w:firstLine="640" w:firstLineChars="200"/>
        <w:jc w:val="center"/>
        <w:rPr>
          <w:rFonts w:ascii="仿宋_GB2312" w:hAnsi="仿宋_GB2312" w:eastAsia="仿宋_GB2312" w:cs="仿宋_GB2312"/>
          <w:sz w:val="32"/>
          <w:szCs w:val="32"/>
          <w:lang w:bidi="ug-CN"/>
        </w:rPr>
      </w:pPr>
      <w:r>
        <w:rPr>
          <w:rFonts w:hint="eastAsia" w:ascii="仿宋_GB2312" w:hAnsi="仿宋_GB2312" w:eastAsia="仿宋_GB2312" w:cs="仿宋_GB2312"/>
          <w:sz w:val="32"/>
          <w:szCs w:val="32"/>
          <w:lang w:bidi="ug-CN"/>
        </w:rPr>
        <w:t>图4</w:t>
      </w:r>
    </w:p>
    <w:p w14:paraId="3A9EF403">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（五）店面背靠背距离测量示意图，</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间距=a+b+c。（如图5）</w:t>
      </w:r>
    </w:p>
    <w:p w14:paraId="7F03D8B9">
      <w:pPr>
        <w:pStyle w:val="3"/>
        <w:spacing w:after="0" w:line="360" w:lineRule="auto"/>
        <w:ind w:right="3" w:firstLine="420" w:firstLineChars="200"/>
        <w:jc w:val="center"/>
        <w:rPr>
          <w:rFonts w:ascii="仿宋_GB2312" w:hAnsi="仿宋_GB2312" w:eastAsia="仿宋_GB2312" w:cs="仿宋_GB2312"/>
          <w:spacing w:val="10"/>
          <w:sz w:val="32"/>
          <w:szCs w:val="32"/>
        </w:rPr>
      </w:pPr>
      <w:r>
        <w:drawing>
          <wp:inline distT="0" distB="0" distL="114300" distR="114300">
            <wp:extent cx="3772535" cy="1860550"/>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0">
                      <a:clrChange>
                        <a:clrFrom>
                          <a:srgbClr val="FEFFFA">
                            <a:alpha val="100000"/>
                          </a:srgbClr>
                        </a:clrFrom>
                        <a:clrTo>
                          <a:srgbClr val="FEFFFA">
                            <a:alpha val="100000"/>
                            <a:alpha val="0"/>
                          </a:srgbClr>
                        </a:clrTo>
                      </a:clrChange>
                    </a:blip>
                    <a:stretch>
                      <a:fillRect/>
                    </a:stretch>
                  </pic:blipFill>
                  <pic:spPr>
                    <a:xfrm>
                      <a:off x="0" y="0"/>
                      <a:ext cx="3790630" cy="1869650"/>
                    </a:xfrm>
                    <a:prstGeom prst="rect">
                      <a:avLst/>
                    </a:prstGeom>
                    <a:noFill/>
                    <a:ln>
                      <a:noFill/>
                    </a:ln>
                  </pic:spPr>
                </pic:pic>
              </a:graphicData>
            </a:graphic>
          </wp:inline>
        </w:drawing>
      </w:r>
    </w:p>
    <w:p w14:paraId="519E35E7">
      <w:pPr>
        <w:pStyle w:val="3"/>
        <w:spacing w:after="0" w:line="360" w:lineRule="auto"/>
        <w:ind w:right="3" w:firstLine="680" w:firstLineChars="200"/>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图5</w:t>
      </w:r>
    </w:p>
    <w:p w14:paraId="3D86D322">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（六）店面隔着街道转角的，分别计算沿街店面的两边距离再相加，</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间距=a+b。（如图6）</w:t>
      </w:r>
    </w:p>
    <w:p w14:paraId="785E8E9F">
      <w:pPr>
        <w:pStyle w:val="3"/>
        <w:spacing w:after="0" w:line="360" w:lineRule="auto"/>
        <w:ind w:right="64"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768850" cy="2709545"/>
            <wp:effectExtent l="0" t="0" r="12700" b="14605"/>
            <wp:docPr id="33" name="图片 33" descr="e4103bb42dbf83929f4d95fca555f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e4103bb42dbf83929f4d95fca555fcf"/>
                    <pic:cNvPicPr>
                      <a:picLocks noChangeAspect="1"/>
                    </pic:cNvPicPr>
                  </pic:nvPicPr>
                  <pic:blipFill>
                    <a:blip r:embed="rId11"/>
                    <a:srcRect t="17596"/>
                    <a:stretch>
                      <a:fillRect/>
                    </a:stretch>
                  </pic:blipFill>
                  <pic:spPr>
                    <a:xfrm>
                      <a:off x="0" y="0"/>
                      <a:ext cx="4768850" cy="2709545"/>
                    </a:xfrm>
                    <a:prstGeom prst="rect">
                      <a:avLst/>
                    </a:prstGeom>
                  </pic:spPr>
                </pic:pic>
              </a:graphicData>
            </a:graphic>
          </wp:inline>
        </w:drawing>
      </w:r>
    </w:p>
    <w:p w14:paraId="5E9270B5">
      <w:pPr>
        <w:pStyle w:val="3"/>
        <w:spacing w:after="0" w:line="360" w:lineRule="auto"/>
        <w:ind w:right="64"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图6</w:t>
      </w:r>
    </w:p>
    <w:p w14:paraId="32FAAED7">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（七）十字路口</w:t>
      </w:r>
    </w:p>
    <w:p w14:paraId="561234D6">
      <w:pPr>
        <w:pStyle w:val="3"/>
        <w:spacing w:after="0" w:line="360" w:lineRule="auto"/>
        <w:ind w:right="64"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申请点与参照零售点在十字路口中轴线同一半侧的道路对侧的，可参照道路对侧情况进行测量，按申请点门边至零售点门边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测量。具体测量办法视有无交通信号灯、人行横道或过街设施的路段以及障碍物情况而定。（如图7.1）</w:t>
      </w:r>
    </w:p>
    <w:p w14:paraId="1381E191">
      <w:pPr>
        <w:pStyle w:val="3"/>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064510" cy="2741930"/>
            <wp:effectExtent l="0" t="0" r="2540" b="1270"/>
            <wp:docPr id="29" name="图片 29" descr="微信图片_20231212104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31212104934"/>
                    <pic:cNvPicPr>
                      <a:picLocks noChangeAspect="1"/>
                    </pic:cNvPicPr>
                  </pic:nvPicPr>
                  <pic:blipFill>
                    <a:blip r:embed="rId12"/>
                    <a:stretch>
                      <a:fillRect/>
                    </a:stretch>
                  </pic:blipFill>
                  <pic:spPr>
                    <a:xfrm>
                      <a:off x="0" y="0"/>
                      <a:ext cx="3064510" cy="2741930"/>
                    </a:xfrm>
                    <a:prstGeom prst="rect">
                      <a:avLst/>
                    </a:prstGeom>
                  </pic:spPr>
                </pic:pic>
              </a:graphicData>
            </a:graphic>
          </wp:inline>
        </w:drawing>
      </w:r>
    </w:p>
    <w:p w14:paraId="78B739C2">
      <w:pPr>
        <w:pStyle w:val="3"/>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图7.1</w:t>
      </w:r>
    </w:p>
    <w:p w14:paraId="282FCFA0">
      <w:pPr>
        <w:pStyle w:val="3"/>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十字路口对角（有交通信号灯、人行横道或过街设施）</w:t>
      </w:r>
    </w:p>
    <w:p w14:paraId="4D3CE240">
      <w:pPr>
        <w:pStyle w:val="3"/>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申请点与参照零售点位于十字路口对角位置的，且路口中间设有交通信号灯、人行横道或过街设施的，应按照交通规则，通过人行横道或过街设施，按申请点门边至零售点门边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测量。（如图7.2中存在a、b两条线路，取其中一条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33C082C6">
      <w:pPr>
        <w:pStyle w:val="3"/>
        <w:spacing w:after="0" w:line="360" w:lineRule="auto"/>
        <w:ind w:right="64"/>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3200" cy="2445385"/>
            <wp:effectExtent l="0" t="0" r="0" b="0"/>
            <wp:docPr id="20" name="图片 20" descr="e3dd04eb18af5a2a848cca0133a5d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3dd04eb18af5a2a848cca0133a5d97"/>
                    <pic:cNvPicPr>
                      <a:picLocks noChangeAspect="1"/>
                    </pic:cNvPicPr>
                  </pic:nvPicPr>
                  <pic:blipFill>
                    <a:blip r:embed="rId13"/>
                    <a:stretch>
                      <a:fillRect/>
                    </a:stretch>
                  </pic:blipFill>
                  <pic:spPr>
                    <a:xfrm>
                      <a:off x="0" y="0"/>
                      <a:ext cx="2782892" cy="2481288"/>
                    </a:xfrm>
                    <a:prstGeom prst="rect">
                      <a:avLst/>
                    </a:prstGeom>
                  </pic:spPr>
                </pic:pic>
              </a:graphicData>
            </a:graphic>
          </wp:inline>
        </w:drawing>
      </w:r>
    </w:p>
    <w:p w14:paraId="7B65B161">
      <w:pPr>
        <w:pStyle w:val="3"/>
        <w:spacing w:after="0" w:line="360" w:lineRule="auto"/>
        <w:ind w:left="420" w:leftChars="200" w:right="64" w:firstLine="3200" w:firstLineChars="1000"/>
        <w:rPr>
          <w:rFonts w:ascii="仿宋_GB2312" w:hAnsi="仿宋_GB2312" w:eastAsia="仿宋_GB2312" w:cs="仿宋_GB2312"/>
          <w:sz w:val="32"/>
          <w:szCs w:val="32"/>
        </w:rPr>
      </w:pPr>
      <w:r>
        <w:rPr>
          <w:rFonts w:hint="eastAsia" w:ascii="仿宋_GB2312" w:hAnsi="仿宋_GB2312" w:eastAsia="仿宋_GB2312" w:cs="仿宋_GB2312"/>
          <w:sz w:val="32"/>
          <w:szCs w:val="32"/>
        </w:rPr>
        <w:t>图7.2</w:t>
      </w:r>
    </w:p>
    <w:p w14:paraId="0F7824B2">
      <w:pPr>
        <w:pStyle w:val="3"/>
        <w:adjustRightInd w:val="0"/>
        <w:snapToGrid w:val="0"/>
        <w:spacing w:after="0" w:line="336"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十字路口对角（无交通信号灯、人行横道或过街设施）</w:t>
      </w:r>
    </w:p>
    <w:p w14:paraId="0F247B43">
      <w:pPr>
        <w:pStyle w:val="3"/>
        <w:adjustRightInd w:val="0"/>
        <w:snapToGrid w:val="0"/>
        <w:spacing w:after="0"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申请点与参照零售点位于十字路口对角位置的，且路口中间未设有交通信号灯、人行横道或过街设施的，按申请点门边至零售点门边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测量。（图7.3）</w:t>
      </w:r>
    </w:p>
    <w:p w14:paraId="05996E78">
      <w:pPr>
        <w:pStyle w:val="3"/>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703830" cy="2475865"/>
            <wp:effectExtent l="0" t="0" r="1270" b="635"/>
            <wp:docPr id="21" name="图片 21" descr="00184291e613f2b487271c531d8ed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184291e613f2b487271c531d8edb7"/>
                    <pic:cNvPicPr>
                      <a:picLocks noChangeAspect="1"/>
                    </pic:cNvPicPr>
                  </pic:nvPicPr>
                  <pic:blipFill>
                    <a:blip r:embed="rId14"/>
                    <a:stretch>
                      <a:fillRect/>
                    </a:stretch>
                  </pic:blipFill>
                  <pic:spPr>
                    <a:xfrm>
                      <a:off x="0" y="0"/>
                      <a:ext cx="2703830" cy="2475865"/>
                    </a:xfrm>
                    <a:prstGeom prst="rect">
                      <a:avLst/>
                    </a:prstGeom>
                  </pic:spPr>
                </pic:pic>
              </a:graphicData>
            </a:graphic>
          </wp:inline>
        </w:drawing>
      </w:r>
    </w:p>
    <w:p w14:paraId="6A2F9CC0">
      <w:pPr>
        <w:pStyle w:val="3"/>
        <w:spacing w:after="0" w:line="360" w:lineRule="auto"/>
        <w:ind w:right="64"/>
        <w:jc w:val="center"/>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图7.3</w:t>
      </w:r>
    </w:p>
    <w:p w14:paraId="3F9D6391">
      <w:pPr>
        <w:pStyle w:val="3"/>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（八）中小学校、幼儿园的测量起始点为学校正常出入的校门口。有多个进出通道口的，选择距离零售点最短的进出通道口的门边，作为测量起始点。</w:t>
      </w:r>
    </w:p>
    <w:p w14:paraId="14018825">
      <w:pPr>
        <w:pStyle w:val="3"/>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申请点与中小学校、幼儿园通道口之间距离测量示意图。（如图8）</w:t>
      </w:r>
    </w:p>
    <w:p w14:paraId="19D0BE73">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2822575" cy="2128520"/>
            <wp:effectExtent l="0" t="0" r="0" b="5080"/>
            <wp:docPr id="22" name="图片 22" descr="356d27789946a0c2406ddfd75b14e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56d27789946a0c2406ddfd75b14e94"/>
                    <pic:cNvPicPr>
                      <a:picLocks noChangeAspect="1"/>
                    </pic:cNvPicPr>
                  </pic:nvPicPr>
                  <pic:blipFill>
                    <a:blip r:embed="rId15"/>
                    <a:stretch>
                      <a:fillRect/>
                    </a:stretch>
                  </pic:blipFill>
                  <pic:spPr>
                    <a:xfrm>
                      <a:off x="0" y="0"/>
                      <a:ext cx="2844973" cy="2145560"/>
                    </a:xfrm>
                    <a:prstGeom prst="rect">
                      <a:avLst/>
                    </a:prstGeom>
                  </pic:spPr>
                </pic:pic>
              </a:graphicData>
            </a:graphic>
          </wp:inline>
        </w:drawing>
      </w:r>
    </w:p>
    <w:p w14:paraId="7826EE6E">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图8</w:t>
      </w:r>
    </w:p>
    <w:p w14:paraId="0895FC0F">
      <w:pPr>
        <w:pStyle w:val="3"/>
        <w:adjustRightInd w:val="0"/>
        <w:snapToGrid w:val="0"/>
        <w:spacing w:after="0" w:line="300" w:lineRule="auto"/>
        <w:ind w:right="2" w:firstLine="64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z w:val="32"/>
          <w:szCs w:val="32"/>
        </w:rPr>
        <w:t>（九）申请点与参照零售点</w:t>
      </w:r>
      <w:r>
        <w:rPr>
          <w:rFonts w:hint="eastAsia" w:ascii="仿宋_GB2312" w:hAnsi="仿宋_GB2312" w:eastAsia="仿宋_GB2312" w:cs="仿宋_GB2312"/>
          <w:spacing w:val="10"/>
          <w:sz w:val="32"/>
          <w:szCs w:val="32"/>
        </w:rPr>
        <w:t>之间有道路隔离情形的：</w:t>
      </w:r>
    </w:p>
    <w:p w14:paraId="7CF375EE">
      <w:pPr>
        <w:pStyle w:val="3"/>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1.</w:t>
      </w:r>
      <w:r>
        <w:rPr>
          <w:rFonts w:hint="eastAsia" w:ascii="仿宋_GB2312" w:hAnsi="仿宋_GB2312" w:eastAsia="仿宋_GB2312" w:cs="仿宋_GB2312"/>
          <w:spacing w:val="10"/>
          <w:sz w:val="32"/>
          <w:szCs w:val="32"/>
        </w:rPr>
        <w:t>主干道上有禁止行人行走隔离带的（包括禁止通行的双实线、单实线等交通标志），测量从隔离带最近开口处过斑马线、天桥等行人可安全步行通道，以直线距离为测量标准，申请点与参照零售点间距=a+b+c。（如图9.1）</w:t>
      </w:r>
    </w:p>
    <w:p w14:paraId="23002B4A">
      <w:pPr>
        <w:pStyle w:val="3"/>
        <w:spacing w:after="0"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4127500" cy="2635885"/>
            <wp:effectExtent l="0" t="0" r="0" b="0"/>
            <wp:docPr id="26" name="图片 26" descr="8ba54ecd243e5522fac748aa3cc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8ba54ecd243e5522fac748aa3cc0758"/>
                    <pic:cNvPicPr>
                      <a:picLocks noChangeAspect="1"/>
                    </pic:cNvPicPr>
                  </pic:nvPicPr>
                  <pic:blipFill>
                    <a:blip r:embed="rId16">
                      <a:clrChange>
                        <a:clrFrom>
                          <a:srgbClr val="FBFCF7">
                            <a:alpha val="100000"/>
                          </a:srgbClr>
                        </a:clrFrom>
                        <a:clrTo>
                          <a:srgbClr val="FBFCF7">
                            <a:alpha val="100000"/>
                            <a:alpha val="0"/>
                          </a:srgbClr>
                        </a:clrTo>
                      </a:clrChange>
                    </a:blip>
                    <a:stretch>
                      <a:fillRect/>
                    </a:stretch>
                  </pic:blipFill>
                  <pic:spPr>
                    <a:xfrm>
                      <a:off x="0" y="0"/>
                      <a:ext cx="4138627" cy="2643022"/>
                    </a:xfrm>
                    <a:prstGeom prst="rect">
                      <a:avLst/>
                    </a:prstGeom>
                  </pic:spPr>
                </pic:pic>
              </a:graphicData>
            </a:graphic>
          </wp:inline>
        </w:drawing>
      </w:r>
    </w:p>
    <w:p w14:paraId="58898B3A">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图9.1</w:t>
      </w:r>
    </w:p>
    <w:p w14:paraId="2FAF05A4">
      <w:pPr>
        <w:pStyle w:val="3"/>
        <w:adjustRightInd w:val="0"/>
        <w:snapToGrid w:val="0"/>
        <w:spacing w:after="0" w:line="300" w:lineRule="auto"/>
        <w:ind w:firstLine="680" w:firstLineChars="200"/>
        <w:jc w:val="left"/>
        <w:rPr>
          <w:rFonts w:ascii="仿宋_GB2312" w:hAnsi="仿宋_GB2312" w:eastAsia="仿宋_GB2312" w:cs="仿宋_GB2312"/>
          <w:spacing w:val="10"/>
          <w:sz w:val="32"/>
          <w:szCs w:val="32"/>
        </w:rPr>
      </w:pPr>
      <w:r>
        <w:rPr>
          <w:rFonts w:ascii="仿宋_GB2312" w:hAnsi="仿宋_GB2312" w:eastAsia="仿宋_GB2312" w:cs="仿宋_GB2312"/>
          <w:spacing w:val="10"/>
          <w:sz w:val="32"/>
          <w:szCs w:val="32"/>
        </w:rPr>
        <w:t>2.</w:t>
      </w:r>
      <w:r>
        <w:rPr>
          <w:rFonts w:hint="eastAsia" w:ascii="仿宋_GB2312" w:hAnsi="仿宋_GB2312" w:eastAsia="仿宋_GB2312" w:cs="仿宋_GB2312"/>
          <w:spacing w:val="10"/>
          <w:sz w:val="32"/>
          <w:szCs w:val="32"/>
        </w:rPr>
        <w:t>无隔离带（包括无任何禁止通行交通标志的路段或有可通行的单虚线），但两个零售点之间有斑马线的，按照“边对边”过斑马线垂直距离为测量标准。</w:t>
      </w:r>
      <w:r>
        <w:rPr>
          <w:rFonts w:hint="eastAsia" w:ascii="仿宋_GB2312" w:hAnsi="仿宋_GB2312" w:eastAsia="仿宋_GB2312" w:cs="仿宋_GB2312"/>
          <w:sz w:val="32"/>
          <w:szCs w:val="32"/>
        </w:rPr>
        <w:t>申请点与参照零售点</w:t>
      </w:r>
      <w:r>
        <w:rPr>
          <w:rFonts w:hint="eastAsia" w:ascii="仿宋_GB2312" w:hAnsi="仿宋_GB2312" w:eastAsia="仿宋_GB2312" w:cs="仿宋_GB2312"/>
          <w:spacing w:val="10"/>
          <w:sz w:val="32"/>
          <w:szCs w:val="32"/>
        </w:rPr>
        <w:t>间距=a+b+c。（如图9.2）</w:t>
      </w:r>
    </w:p>
    <w:p w14:paraId="687828B0">
      <w:pPr>
        <w:pStyle w:val="3"/>
        <w:spacing w:after="0"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drawing>
          <wp:inline distT="0" distB="0" distL="114300" distR="114300">
            <wp:extent cx="3261995" cy="1890395"/>
            <wp:effectExtent l="0" t="0" r="0" b="0"/>
            <wp:docPr id="34" name="图片 34" descr="c278b0802036915e85f53d70bcbf8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278b0802036915e85f53d70bcbf8a1"/>
                    <pic:cNvPicPr>
                      <a:picLocks noChangeAspect="1"/>
                    </pic:cNvPicPr>
                  </pic:nvPicPr>
                  <pic:blipFill>
                    <a:blip r:embed="rId17"/>
                    <a:srcRect t="11409"/>
                    <a:stretch>
                      <a:fillRect/>
                    </a:stretch>
                  </pic:blipFill>
                  <pic:spPr>
                    <a:xfrm>
                      <a:off x="0" y="0"/>
                      <a:ext cx="3316677" cy="1922333"/>
                    </a:xfrm>
                    <a:prstGeom prst="rect">
                      <a:avLst/>
                    </a:prstGeom>
                  </pic:spPr>
                </pic:pic>
              </a:graphicData>
            </a:graphic>
          </wp:inline>
        </w:drawing>
      </w:r>
      <w:bookmarkStart w:id="0" w:name="attache_title"/>
      <w:bookmarkEnd w:id="0"/>
      <w:bookmarkStart w:id="1" w:name="Fuzhu"/>
      <w:bookmarkEnd w:id="1"/>
    </w:p>
    <w:p w14:paraId="64BDC60C">
      <w:pPr>
        <w:spacing w:line="360" w:lineRule="auto"/>
        <w:ind w:right="-512" w:rightChars="-244"/>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图9.2</w:t>
      </w:r>
    </w:p>
    <w:p w14:paraId="0B0830E4">
      <w:pPr>
        <w:pStyle w:val="3"/>
        <w:spacing w:after="0" w:line="360" w:lineRule="auto"/>
        <w:ind w:right="2" w:firstLine="680" w:firstLineChars="200"/>
        <w:jc w:val="left"/>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（十）各类综合性商品批发市场、专业市场、集贸市场内部距离测量示意图，</w:t>
      </w:r>
      <w:r>
        <w:rPr>
          <w:rFonts w:hint="eastAsia" w:ascii="仿宋_GB2312" w:hAnsi="仿宋_GB2312" w:eastAsia="仿宋_GB2312" w:cs="仿宋_GB2312"/>
          <w:sz w:val="32"/>
          <w:szCs w:val="32"/>
        </w:rPr>
        <w:t>申请点与参照零售点间距</w:t>
      </w:r>
      <w:r>
        <w:rPr>
          <w:rFonts w:hint="eastAsia" w:ascii="仿宋_GB2312" w:hAnsi="仿宋_GB2312" w:eastAsia="仿宋_GB2312" w:cs="仿宋_GB2312"/>
          <w:spacing w:val="10"/>
          <w:sz w:val="32"/>
          <w:szCs w:val="32"/>
        </w:rPr>
        <w:t>=a+b+c。（如图10）</w:t>
      </w:r>
    </w:p>
    <w:p w14:paraId="5448580B">
      <w:pPr>
        <w:spacing w:line="360" w:lineRule="auto"/>
        <w:jc w:val="center"/>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drawing>
          <wp:inline distT="0" distB="0" distL="114300" distR="114300">
            <wp:extent cx="3851275" cy="2245360"/>
            <wp:effectExtent l="0" t="0" r="15875" b="2540"/>
            <wp:docPr id="36" name="图片 36" descr="2f67498772cdcce961f622af2fa8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2f67498772cdcce961f622af2fa8684"/>
                    <pic:cNvPicPr>
                      <a:picLocks noChangeAspect="1"/>
                    </pic:cNvPicPr>
                  </pic:nvPicPr>
                  <pic:blipFill>
                    <a:blip r:embed="rId18"/>
                    <a:stretch>
                      <a:fillRect/>
                    </a:stretch>
                  </pic:blipFill>
                  <pic:spPr>
                    <a:xfrm>
                      <a:off x="0" y="0"/>
                      <a:ext cx="3851275" cy="2245360"/>
                    </a:xfrm>
                    <a:prstGeom prst="rect">
                      <a:avLst/>
                    </a:prstGeom>
                  </pic:spPr>
                </pic:pic>
              </a:graphicData>
            </a:graphic>
          </wp:inline>
        </w:drawing>
      </w:r>
    </w:p>
    <w:p w14:paraId="76668731">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图10</w:t>
      </w:r>
    </w:p>
    <w:p w14:paraId="565D63E7">
      <w:pPr>
        <w:pStyle w:val="3"/>
        <w:spacing w:after="0" w:line="360" w:lineRule="auto"/>
        <w:ind w:right="2"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（十一）申请点与参照零售点</w:t>
      </w:r>
      <w:r>
        <w:rPr>
          <w:rFonts w:hint="eastAsia" w:ascii="仿宋_GB2312" w:hAnsi="仿宋_GB2312" w:eastAsia="仿宋_GB2312" w:cs="仿宋_GB2312"/>
          <w:spacing w:val="10"/>
          <w:sz w:val="32"/>
          <w:szCs w:val="32"/>
        </w:rPr>
        <w:t>的经营场所之间有台阶、楼梯的，以其平面坡长进行测量；有电梯的，以层高进行测量；楼梯与电梯并存的，以最短距离的为准。（如图11）</w:t>
      </w:r>
    </w:p>
    <w:p w14:paraId="57CE6D8F">
      <w:pPr>
        <w:spacing w:line="360"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5163185" cy="2213610"/>
            <wp:effectExtent l="0" t="0" r="18415" b="15240"/>
            <wp:docPr id="37" name="图片 37" descr="b08fff5a5926b05bdda889babaaeb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b08fff5a5926b05bdda889babaaeb28"/>
                    <pic:cNvPicPr>
                      <a:picLocks noChangeAspect="1"/>
                    </pic:cNvPicPr>
                  </pic:nvPicPr>
                  <pic:blipFill>
                    <a:blip r:embed="rId19"/>
                    <a:stretch>
                      <a:fillRect/>
                    </a:stretch>
                  </pic:blipFill>
                  <pic:spPr>
                    <a:xfrm>
                      <a:off x="0" y="0"/>
                      <a:ext cx="5163185" cy="2213610"/>
                    </a:xfrm>
                    <a:prstGeom prst="rect">
                      <a:avLst/>
                    </a:prstGeom>
                  </pic:spPr>
                </pic:pic>
              </a:graphicData>
            </a:graphic>
          </wp:inline>
        </w:drawing>
      </w:r>
    </w:p>
    <w:p w14:paraId="254DDC38">
      <w:pPr>
        <w:tabs>
          <w:tab w:val="left" w:pos="1331"/>
        </w:tabs>
        <w:spacing w:line="360" w:lineRule="auto"/>
        <w:ind w:firstLine="680" w:firstLineChars="200"/>
        <w:jc w:val="center"/>
        <w:rPr>
          <w:rFonts w:ascii="仿宋_GB2312" w:hAnsi="仿宋_GB2312" w:eastAsia="仿宋_GB2312" w:cs="仿宋_GB2312"/>
          <w:sz w:val="32"/>
          <w:szCs w:val="32"/>
        </w:rPr>
      </w:pPr>
      <w:r>
        <w:rPr>
          <w:rFonts w:hint="eastAsia" w:ascii="仿宋_GB2312" w:hAnsi="仿宋_GB2312" w:eastAsia="仿宋_GB2312" w:cs="仿宋_GB2312"/>
          <w:spacing w:val="10"/>
          <w:sz w:val="32"/>
          <w:szCs w:val="32"/>
        </w:rPr>
        <w:t>图11</w:t>
      </w:r>
    </w:p>
    <w:p w14:paraId="37061EF2">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（十二）申请点或零售点多门情况</w:t>
      </w:r>
    </w:p>
    <w:p w14:paraId="00DDF226">
      <w:pPr>
        <w:pStyle w:val="3"/>
        <w:spacing w:after="0" w:line="360" w:lineRule="auto"/>
        <w:ind w:right="2"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申请人经营场所门面多面（多间）贯通且多面经营的，测量起始点的选取规则是：申请人与参照零售点之间距离最近的门面为起始点测量。</w:t>
      </w:r>
    </w:p>
    <w:p w14:paraId="5D9F532D">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道路同侧情况</w:t>
      </w:r>
    </w:p>
    <w:p w14:paraId="4446C81B">
      <w:p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申请点出入口较多，取与最近零售点经营场所最短的出入口进行测量。（如图12.1）</w:t>
      </w:r>
    </w:p>
    <w:p w14:paraId="6A77822E">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4333875" cy="2213610"/>
            <wp:effectExtent l="0" t="0" r="9525" b="21590"/>
            <wp:docPr id="38" name="图片 38" descr="b861e0d0513f560d18e101d62e6c6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b861e0d0513f560d18e101d62e6c6ff"/>
                    <pic:cNvPicPr>
                      <a:picLocks noChangeAspect="1"/>
                    </pic:cNvPicPr>
                  </pic:nvPicPr>
                  <pic:blipFill>
                    <a:blip r:embed="rId20"/>
                    <a:stretch>
                      <a:fillRect/>
                    </a:stretch>
                  </pic:blipFill>
                  <pic:spPr>
                    <a:xfrm rot="10800000" flipH="1" flipV="1">
                      <a:off x="0" y="0"/>
                      <a:ext cx="4333875" cy="2213610"/>
                    </a:xfrm>
                    <a:prstGeom prst="rect">
                      <a:avLst/>
                    </a:prstGeom>
                  </pic:spPr>
                </pic:pic>
              </a:graphicData>
            </a:graphic>
          </wp:inline>
        </w:drawing>
      </w:r>
    </w:p>
    <w:p w14:paraId="05CA1EC4">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图12.1</w:t>
      </w:r>
    </w:p>
    <w:p w14:paraId="360B08F0">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十字路口情况</w:t>
      </w:r>
    </w:p>
    <w:p w14:paraId="478C05C4">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（1）申请点与参照零售点在十字路口中轴线同一半侧的道路对侧的，取申请点至零售点最近一侧的门边，测量</w:t>
      </w:r>
      <w:r>
        <w:rPr>
          <w:rFonts w:hint="eastAsia" w:ascii="仿宋_GB2312" w:hAnsi="仿宋_GB2312" w:eastAsia="仿宋_GB2312" w:cs="仿宋_GB2312"/>
          <w:spacing w:val="10"/>
          <w:sz w:val="32"/>
          <w:szCs w:val="32"/>
        </w:rPr>
        <w:t>可安全步行的最短距离</w:t>
      </w:r>
      <w:r>
        <w:rPr>
          <w:rFonts w:hint="eastAsia" w:ascii="仿宋_GB2312" w:hAnsi="仿宋_GB2312" w:eastAsia="仿宋_GB2312" w:cs="仿宋_GB2312"/>
          <w:sz w:val="32"/>
          <w:szCs w:val="32"/>
        </w:rPr>
        <w:t>。具体测量办法视有无交通信号灯、人行横道或过街设施的路段以及障碍物情况而定。（如图12.2）</w:t>
      </w:r>
    </w:p>
    <w:p w14:paraId="7E43A53A">
      <w:pPr>
        <w:spacing w:line="360" w:lineRule="auto"/>
        <w:ind w:firstLine="640" w:firstLineChars="200"/>
        <w:jc w:val="center"/>
        <w:rPr>
          <w:rFonts w:ascii="仿宋_GB2312" w:hAnsi="仿宋_GB2312" w:eastAsia="仿宋_GB2312" w:cs="仿宋_GB2312"/>
          <w:sz w:val="32"/>
          <w:szCs w:val="32"/>
        </w:rPr>
      </w:pPr>
      <w:r>
        <w:rPr>
          <w:rFonts w:ascii="仿宋_GB2312" w:hAnsi="仿宋_GB2312" w:eastAsia="仿宋_GB2312" w:cs="仿宋_GB2312"/>
          <w:sz w:val="32"/>
          <w:szCs w:val="32"/>
        </w:rPr>
        <w:drawing>
          <wp:inline distT="0" distB="0" distL="0" distR="0">
            <wp:extent cx="2393315" cy="2198370"/>
            <wp:effectExtent l="0" t="0" r="6985" b="0"/>
            <wp:docPr id="2866446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4646" name="图片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433119" cy="2235388"/>
                    </a:xfrm>
                    <a:prstGeom prst="rect">
                      <a:avLst/>
                    </a:prstGeom>
                    <a:noFill/>
                    <a:ln>
                      <a:noFill/>
                    </a:ln>
                  </pic:spPr>
                </pic:pic>
              </a:graphicData>
            </a:graphic>
          </wp:inline>
        </w:drawing>
      </w:r>
    </w:p>
    <w:p w14:paraId="61C602FF">
      <w:pPr>
        <w:adjustRightInd w:val="0"/>
        <w:snapToGrid w:val="0"/>
        <w:spacing w:line="336"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图12.2</w:t>
      </w:r>
    </w:p>
    <w:p w14:paraId="046DE5D4">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（2）申请点与参照零售点位于十字路口对角位置的，且路口中间设有交通信号灯、人行横道或过街设施的，应按照交通规则，通过人行横道或过街设施，按申请点最近一侧门边至零售点最近一侧门边</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。（如图12.3存在多条线路取其中</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0716ACCB">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131185" cy="2522855"/>
            <wp:effectExtent l="0" t="0" r="12065" b="10795"/>
            <wp:docPr id="43" name="图片 43" descr="991a379882017bdd4fda0c6acf0b3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91a379882017bdd4fda0c6acf0b3cf"/>
                    <pic:cNvPicPr>
                      <a:picLocks noChangeAspect="1"/>
                    </pic:cNvPicPr>
                  </pic:nvPicPr>
                  <pic:blipFill>
                    <a:blip r:embed="rId22"/>
                    <a:stretch>
                      <a:fillRect/>
                    </a:stretch>
                  </pic:blipFill>
                  <pic:spPr>
                    <a:xfrm>
                      <a:off x="0" y="0"/>
                      <a:ext cx="3131185" cy="2522855"/>
                    </a:xfrm>
                    <a:prstGeom prst="rect">
                      <a:avLst/>
                    </a:prstGeom>
                  </pic:spPr>
                </pic:pic>
              </a:graphicData>
            </a:graphic>
          </wp:inline>
        </w:drawing>
      </w:r>
    </w:p>
    <w:p w14:paraId="0BEF92C2">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图12.3</w:t>
      </w:r>
    </w:p>
    <w:p w14:paraId="00DDD9FF">
      <w:pPr>
        <w:adjustRightInd w:val="0"/>
        <w:snapToGrid w:val="0"/>
        <w:spacing w:line="336"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（3）申请点与参照零售点位于十字路口对角位置，且路口中间未设有交通信号灯、人行横道或过街设施的，按申请点至零售点最近一侧的门边，测量</w:t>
      </w:r>
      <w:r>
        <w:rPr>
          <w:rFonts w:hint="eastAsia" w:ascii="仿宋_GB2312" w:hAnsi="仿宋_GB2312" w:eastAsia="仿宋_GB2312" w:cs="仿宋_GB2312"/>
          <w:spacing w:val="10"/>
          <w:sz w:val="32"/>
          <w:szCs w:val="32"/>
        </w:rPr>
        <w:t>可安全步行最短距离</w:t>
      </w:r>
      <w:r>
        <w:rPr>
          <w:rFonts w:hint="eastAsia" w:ascii="仿宋_GB2312" w:hAnsi="仿宋_GB2312" w:eastAsia="仿宋_GB2312" w:cs="仿宋_GB2312"/>
          <w:sz w:val="32"/>
          <w:szCs w:val="32"/>
        </w:rPr>
        <w:t>。（如图12.4存在多条线路，取其中一条</w:t>
      </w:r>
      <w:r>
        <w:rPr>
          <w:rFonts w:hint="eastAsia" w:ascii="仿宋_GB2312" w:hAnsi="仿宋_GB2312" w:eastAsia="仿宋_GB2312" w:cs="仿宋_GB2312"/>
          <w:spacing w:val="10"/>
          <w:sz w:val="32"/>
          <w:szCs w:val="32"/>
        </w:rPr>
        <w:t>可安全步行最短距离线路测量</w:t>
      </w:r>
      <w:r>
        <w:rPr>
          <w:rFonts w:hint="eastAsia" w:ascii="仿宋_GB2312" w:hAnsi="仿宋_GB2312" w:eastAsia="仿宋_GB2312" w:cs="仿宋_GB2312"/>
          <w:sz w:val="32"/>
          <w:szCs w:val="32"/>
        </w:rPr>
        <w:t>）</w:t>
      </w:r>
    </w:p>
    <w:p w14:paraId="5A00C3FB">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30575" cy="2741930"/>
            <wp:effectExtent l="0" t="0" r="3175" b="1270"/>
            <wp:docPr id="46" name="图片 46" descr="9255d481f7a56990fb4032b60a15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9255d481f7a56990fb4032b60a15101"/>
                    <pic:cNvPicPr>
                      <a:picLocks noChangeAspect="1"/>
                    </pic:cNvPicPr>
                  </pic:nvPicPr>
                  <pic:blipFill>
                    <a:blip r:embed="rId23"/>
                    <a:stretch>
                      <a:fillRect/>
                    </a:stretch>
                  </pic:blipFill>
                  <pic:spPr>
                    <a:xfrm>
                      <a:off x="0" y="0"/>
                      <a:ext cx="3330575" cy="2741930"/>
                    </a:xfrm>
                    <a:prstGeom prst="rect">
                      <a:avLst/>
                    </a:prstGeom>
                  </pic:spPr>
                </pic:pic>
              </a:graphicData>
            </a:graphic>
          </wp:inline>
        </w:drawing>
      </w:r>
    </w:p>
    <w:p w14:paraId="6A6B64CD">
      <w:pPr>
        <w:spacing w:line="360" w:lineRule="auto"/>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图12.4</w:t>
      </w:r>
    </w:p>
    <w:p w14:paraId="3506F200">
      <w:pPr>
        <w:pStyle w:val="3"/>
        <w:adjustRightInd w:val="0"/>
        <w:snapToGrid w:val="0"/>
        <w:spacing w:after="0" w:line="336" w:lineRule="auto"/>
        <w:ind w:firstLine="680" w:firstLineChars="200"/>
        <w:jc w:val="left"/>
        <w:rPr>
          <w:rFonts w:ascii="仿宋_GB2312" w:hAnsi="仿宋_GB2312" w:eastAsia="仿宋_GB2312" w:cs="仿宋_GB2312"/>
          <w:spacing w:val="10"/>
          <w:sz w:val="32"/>
          <w:szCs w:val="32"/>
        </w:rPr>
      </w:pPr>
      <w:r>
        <w:rPr>
          <w:rFonts w:hint="eastAsia" w:ascii="仿宋_GB2312" w:hAnsi="仿宋_GB2312" w:eastAsia="仿宋_GB2312" w:cs="仿宋_GB2312"/>
          <w:spacing w:val="10"/>
          <w:sz w:val="32"/>
          <w:szCs w:val="32"/>
        </w:rPr>
        <w:t>（十三）封闭式小区内部、广场等区域零售点的间距测量方法均以原设计道路、人行通道正常安全步行的最短距离进行测量。</w:t>
      </w:r>
    </w:p>
    <w:p w14:paraId="667EC88F">
      <w:pPr>
        <w:pStyle w:val="3"/>
        <w:adjustRightInd w:val="0"/>
        <w:snapToGrid w:val="0"/>
        <w:spacing w:after="0" w:line="336" w:lineRule="auto"/>
        <w:ind w:firstLine="680" w:firstLineChars="200"/>
        <w:jc w:val="left"/>
        <w:rPr>
          <w:rFonts w:ascii="仿宋_GB2312" w:hAnsi="黑体" w:eastAsia="仿宋_GB2312" w:cs="宋体"/>
          <w:sz w:val="32"/>
          <w:szCs w:val="32"/>
          <w:lang w:bidi="ug-CN"/>
        </w:rPr>
      </w:pPr>
      <w:r>
        <w:rPr>
          <w:rFonts w:hint="eastAsia" w:ascii="仿宋_GB2312" w:hAnsi="仿宋_GB2312" w:eastAsia="仿宋_GB2312" w:cs="仿宋_GB2312"/>
          <w:spacing w:val="10"/>
          <w:sz w:val="32"/>
          <w:szCs w:val="32"/>
        </w:rPr>
        <w:t>（十四）特殊地形测量：因地形、地貌或设计等原因导致道路、通道成不规则形态，通过前述方法无法测量的，以可安全步行最短距离进行测量。</w:t>
      </w:r>
    </w:p>
    <w:p w14:paraId="7E92B278">
      <w:pPr>
        <w:rPr>
          <w:rFonts w:ascii="仿宋_GB2312" w:hAnsi="仿宋_GB2312" w:eastAsia="仿宋_GB2312" w:cs="仿宋_GB2312"/>
          <w:spacing w:val="10"/>
          <w:sz w:val="32"/>
          <w:szCs w:val="32"/>
        </w:rPr>
      </w:pPr>
    </w:p>
    <w:p w14:paraId="34240512">
      <w:pPr>
        <w:rPr>
          <w:rFonts w:ascii="仿宋_GB2312" w:hAnsi="仿宋_GB2312" w:eastAsia="仿宋_GB2312" w:cs="仿宋_GB2312"/>
          <w:spacing w:val="10"/>
          <w:sz w:val="32"/>
          <w:szCs w:val="3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EDC019-A555-4DDC-AFB5-4D0AF9733D7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2" w:fontKey="{B6E24E9D-52FD-43E4-B228-4C8F2A32871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E61AE">
    <w:pPr>
      <w:pStyle w:val="5"/>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8BD355">
                          <w:pPr>
                            <w:pStyle w:val="5"/>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- 12 -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18BD355">
                    <w:pPr>
                      <w:pStyle w:val="5"/>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- 12 -</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NhNzljYmZkNTE1NmExZTM3MDFlZjNmMzVhNTk1NzgifQ=="/>
  </w:docVars>
  <w:rsids>
    <w:rsidRoot w:val="0CE14AE9"/>
    <w:rsid w:val="00065631"/>
    <w:rsid w:val="00072860"/>
    <w:rsid w:val="00091159"/>
    <w:rsid w:val="000972D0"/>
    <w:rsid w:val="000A6366"/>
    <w:rsid w:val="00120A19"/>
    <w:rsid w:val="00152391"/>
    <w:rsid w:val="00156326"/>
    <w:rsid w:val="001C337B"/>
    <w:rsid w:val="002048CF"/>
    <w:rsid w:val="00214809"/>
    <w:rsid w:val="00227820"/>
    <w:rsid w:val="002B2BA1"/>
    <w:rsid w:val="002C1A21"/>
    <w:rsid w:val="002E27FB"/>
    <w:rsid w:val="00307A95"/>
    <w:rsid w:val="00307EB0"/>
    <w:rsid w:val="00325A98"/>
    <w:rsid w:val="00332D12"/>
    <w:rsid w:val="0033514A"/>
    <w:rsid w:val="00364144"/>
    <w:rsid w:val="00397B97"/>
    <w:rsid w:val="003E2BB2"/>
    <w:rsid w:val="0044436C"/>
    <w:rsid w:val="004904BE"/>
    <w:rsid w:val="004C5AE1"/>
    <w:rsid w:val="004E0FD9"/>
    <w:rsid w:val="00501EE6"/>
    <w:rsid w:val="00520897"/>
    <w:rsid w:val="0052516C"/>
    <w:rsid w:val="00554B9A"/>
    <w:rsid w:val="00575AA6"/>
    <w:rsid w:val="005E32BD"/>
    <w:rsid w:val="00617CE0"/>
    <w:rsid w:val="00647CF2"/>
    <w:rsid w:val="006B4AE6"/>
    <w:rsid w:val="007738FF"/>
    <w:rsid w:val="00781CB0"/>
    <w:rsid w:val="0079626F"/>
    <w:rsid w:val="007D37F7"/>
    <w:rsid w:val="007E139D"/>
    <w:rsid w:val="00854119"/>
    <w:rsid w:val="00864651"/>
    <w:rsid w:val="00867D0F"/>
    <w:rsid w:val="008B067E"/>
    <w:rsid w:val="008D1DCA"/>
    <w:rsid w:val="008F4AE1"/>
    <w:rsid w:val="00920D5B"/>
    <w:rsid w:val="00943A43"/>
    <w:rsid w:val="00951D0E"/>
    <w:rsid w:val="00962524"/>
    <w:rsid w:val="00A37F5E"/>
    <w:rsid w:val="00A744B2"/>
    <w:rsid w:val="00AD5C72"/>
    <w:rsid w:val="00B024B1"/>
    <w:rsid w:val="00B058E1"/>
    <w:rsid w:val="00B559E6"/>
    <w:rsid w:val="00B62E80"/>
    <w:rsid w:val="00B73C7E"/>
    <w:rsid w:val="00B8146C"/>
    <w:rsid w:val="00B82231"/>
    <w:rsid w:val="00B912EC"/>
    <w:rsid w:val="00BF6464"/>
    <w:rsid w:val="00C07DC3"/>
    <w:rsid w:val="00C20CED"/>
    <w:rsid w:val="00C34E35"/>
    <w:rsid w:val="00C638F2"/>
    <w:rsid w:val="00E02AED"/>
    <w:rsid w:val="00E06AEC"/>
    <w:rsid w:val="00E56650"/>
    <w:rsid w:val="00E9114A"/>
    <w:rsid w:val="00EC24AF"/>
    <w:rsid w:val="00EC3A35"/>
    <w:rsid w:val="00ED00B4"/>
    <w:rsid w:val="00F03F5C"/>
    <w:rsid w:val="00F37965"/>
    <w:rsid w:val="00F81E5D"/>
    <w:rsid w:val="00FA6926"/>
    <w:rsid w:val="012B68C7"/>
    <w:rsid w:val="0196601E"/>
    <w:rsid w:val="01B14C06"/>
    <w:rsid w:val="03B66504"/>
    <w:rsid w:val="045126D0"/>
    <w:rsid w:val="04C80BE4"/>
    <w:rsid w:val="05065269"/>
    <w:rsid w:val="05810E3E"/>
    <w:rsid w:val="066C00DC"/>
    <w:rsid w:val="084C7436"/>
    <w:rsid w:val="08912FDE"/>
    <w:rsid w:val="08FB6939"/>
    <w:rsid w:val="095119BA"/>
    <w:rsid w:val="096B7D90"/>
    <w:rsid w:val="098114A1"/>
    <w:rsid w:val="0A041F36"/>
    <w:rsid w:val="0AAF4780"/>
    <w:rsid w:val="0AC459AA"/>
    <w:rsid w:val="0B097A9F"/>
    <w:rsid w:val="0C1977CA"/>
    <w:rsid w:val="0CE14AE9"/>
    <w:rsid w:val="0CF32810"/>
    <w:rsid w:val="0D8B0A01"/>
    <w:rsid w:val="0DB8556E"/>
    <w:rsid w:val="0DCF4D92"/>
    <w:rsid w:val="0DFF319D"/>
    <w:rsid w:val="0E83705F"/>
    <w:rsid w:val="0EDB32C2"/>
    <w:rsid w:val="0EF36D83"/>
    <w:rsid w:val="0F384BB8"/>
    <w:rsid w:val="0F515481"/>
    <w:rsid w:val="104B4477"/>
    <w:rsid w:val="106A2B50"/>
    <w:rsid w:val="1088747A"/>
    <w:rsid w:val="1151658F"/>
    <w:rsid w:val="12247EEE"/>
    <w:rsid w:val="12A670A0"/>
    <w:rsid w:val="12C97CF4"/>
    <w:rsid w:val="13BA5B9C"/>
    <w:rsid w:val="14DC1959"/>
    <w:rsid w:val="1554671D"/>
    <w:rsid w:val="16610551"/>
    <w:rsid w:val="1682483D"/>
    <w:rsid w:val="17027C18"/>
    <w:rsid w:val="17740758"/>
    <w:rsid w:val="17C074F9"/>
    <w:rsid w:val="184323A2"/>
    <w:rsid w:val="187A1D9E"/>
    <w:rsid w:val="19A21ADA"/>
    <w:rsid w:val="19AC242B"/>
    <w:rsid w:val="1A0D279E"/>
    <w:rsid w:val="1A174234"/>
    <w:rsid w:val="1A312E6E"/>
    <w:rsid w:val="1AC35C7E"/>
    <w:rsid w:val="1B37398D"/>
    <w:rsid w:val="1B417C20"/>
    <w:rsid w:val="1BC872C4"/>
    <w:rsid w:val="1D670577"/>
    <w:rsid w:val="1D840AB4"/>
    <w:rsid w:val="1E0A0871"/>
    <w:rsid w:val="1E562965"/>
    <w:rsid w:val="1F334A54"/>
    <w:rsid w:val="1F63002C"/>
    <w:rsid w:val="1F6637FD"/>
    <w:rsid w:val="1FB47B48"/>
    <w:rsid w:val="209669C5"/>
    <w:rsid w:val="210963B5"/>
    <w:rsid w:val="219634FC"/>
    <w:rsid w:val="21D90C4B"/>
    <w:rsid w:val="22B57588"/>
    <w:rsid w:val="22CC58EC"/>
    <w:rsid w:val="232E02C0"/>
    <w:rsid w:val="23403BE4"/>
    <w:rsid w:val="235C20D3"/>
    <w:rsid w:val="23AD1279"/>
    <w:rsid w:val="245711E5"/>
    <w:rsid w:val="24D8668B"/>
    <w:rsid w:val="254148C2"/>
    <w:rsid w:val="25E66CC5"/>
    <w:rsid w:val="26695200"/>
    <w:rsid w:val="26AF3988"/>
    <w:rsid w:val="272555CB"/>
    <w:rsid w:val="280E2D78"/>
    <w:rsid w:val="28130CBB"/>
    <w:rsid w:val="287B3E4C"/>
    <w:rsid w:val="289C18BC"/>
    <w:rsid w:val="29450C10"/>
    <w:rsid w:val="2ACA0963"/>
    <w:rsid w:val="2B9D1BD3"/>
    <w:rsid w:val="2BFD175E"/>
    <w:rsid w:val="2C81312E"/>
    <w:rsid w:val="2E051CB2"/>
    <w:rsid w:val="2F55454E"/>
    <w:rsid w:val="2FEF37D6"/>
    <w:rsid w:val="301A2346"/>
    <w:rsid w:val="31232B7B"/>
    <w:rsid w:val="312B1A2F"/>
    <w:rsid w:val="312B3E67"/>
    <w:rsid w:val="3216623C"/>
    <w:rsid w:val="329F4483"/>
    <w:rsid w:val="32D0288E"/>
    <w:rsid w:val="34160775"/>
    <w:rsid w:val="341E0F18"/>
    <w:rsid w:val="3482405C"/>
    <w:rsid w:val="34A42225"/>
    <w:rsid w:val="352168DB"/>
    <w:rsid w:val="364F61C0"/>
    <w:rsid w:val="388E7705"/>
    <w:rsid w:val="38F85F83"/>
    <w:rsid w:val="391F00CC"/>
    <w:rsid w:val="3A0948D8"/>
    <w:rsid w:val="3A39340F"/>
    <w:rsid w:val="3AA7481D"/>
    <w:rsid w:val="3B310502"/>
    <w:rsid w:val="3B9B7648"/>
    <w:rsid w:val="3B9D0B1E"/>
    <w:rsid w:val="3BE60F73"/>
    <w:rsid w:val="3BF16211"/>
    <w:rsid w:val="3C0A2369"/>
    <w:rsid w:val="3C2B6D87"/>
    <w:rsid w:val="3CB530E9"/>
    <w:rsid w:val="3D65451B"/>
    <w:rsid w:val="3DD11BB1"/>
    <w:rsid w:val="3DDB5C3E"/>
    <w:rsid w:val="3E80785E"/>
    <w:rsid w:val="3F373C95"/>
    <w:rsid w:val="3F6F15E7"/>
    <w:rsid w:val="401D10DD"/>
    <w:rsid w:val="408D0FB0"/>
    <w:rsid w:val="40E514C7"/>
    <w:rsid w:val="413466DE"/>
    <w:rsid w:val="413F7AA0"/>
    <w:rsid w:val="415C331A"/>
    <w:rsid w:val="41984A97"/>
    <w:rsid w:val="419E1DAA"/>
    <w:rsid w:val="41D50910"/>
    <w:rsid w:val="41F66BBF"/>
    <w:rsid w:val="42B6714C"/>
    <w:rsid w:val="430B26E7"/>
    <w:rsid w:val="434075BC"/>
    <w:rsid w:val="43D9356D"/>
    <w:rsid w:val="43F9776B"/>
    <w:rsid w:val="442E38B9"/>
    <w:rsid w:val="44E0180C"/>
    <w:rsid w:val="44FE772F"/>
    <w:rsid w:val="45471A31"/>
    <w:rsid w:val="45D24718"/>
    <w:rsid w:val="47D82119"/>
    <w:rsid w:val="480C2163"/>
    <w:rsid w:val="48BD345D"/>
    <w:rsid w:val="49751537"/>
    <w:rsid w:val="49BC54C3"/>
    <w:rsid w:val="4A1672C9"/>
    <w:rsid w:val="4A2731F0"/>
    <w:rsid w:val="4A600544"/>
    <w:rsid w:val="4A767D68"/>
    <w:rsid w:val="4A7D4746"/>
    <w:rsid w:val="4A8A3813"/>
    <w:rsid w:val="4C800A2A"/>
    <w:rsid w:val="4DA223BC"/>
    <w:rsid w:val="4DD3168B"/>
    <w:rsid w:val="4DED6593"/>
    <w:rsid w:val="4E1A5D98"/>
    <w:rsid w:val="4E813FBD"/>
    <w:rsid w:val="4E8A7EF1"/>
    <w:rsid w:val="4E9E163B"/>
    <w:rsid w:val="4EFD1038"/>
    <w:rsid w:val="4FBA06F6"/>
    <w:rsid w:val="505045CF"/>
    <w:rsid w:val="507A1C33"/>
    <w:rsid w:val="50854B05"/>
    <w:rsid w:val="516528E4"/>
    <w:rsid w:val="52974D1F"/>
    <w:rsid w:val="52E63C2F"/>
    <w:rsid w:val="546649A9"/>
    <w:rsid w:val="54F123D6"/>
    <w:rsid w:val="556752C9"/>
    <w:rsid w:val="55C17B58"/>
    <w:rsid w:val="55FB55C5"/>
    <w:rsid w:val="561346BC"/>
    <w:rsid w:val="563F3769"/>
    <w:rsid w:val="56665134"/>
    <w:rsid w:val="57A001D2"/>
    <w:rsid w:val="5816571C"/>
    <w:rsid w:val="588653B2"/>
    <w:rsid w:val="58F10BED"/>
    <w:rsid w:val="58FF660A"/>
    <w:rsid w:val="59A56833"/>
    <w:rsid w:val="59DF76D7"/>
    <w:rsid w:val="5A533C21"/>
    <w:rsid w:val="5A946B2A"/>
    <w:rsid w:val="5AB50438"/>
    <w:rsid w:val="5ADD173D"/>
    <w:rsid w:val="5AE66844"/>
    <w:rsid w:val="5B500161"/>
    <w:rsid w:val="5B973A7B"/>
    <w:rsid w:val="5C3830CF"/>
    <w:rsid w:val="5C70230F"/>
    <w:rsid w:val="5C875959"/>
    <w:rsid w:val="5CA802EC"/>
    <w:rsid w:val="5CD172D6"/>
    <w:rsid w:val="5D5B1CA2"/>
    <w:rsid w:val="5D7C523D"/>
    <w:rsid w:val="5DD72473"/>
    <w:rsid w:val="5E076966"/>
    <w:rsid w:val="5E8F0FA0"/>
    <w:rsid w:val="5EB86749"/>
    <w:rsid w:val="5EF01A3F"/>
    <w:rsid w:val="5F5C0E82"/>
    <w:rsid w:val="5F9F5213"/>
    <w:rsid w:val="603B14CB"/>
    <w:rsid w:val="61111041"/>
    <w:rsid w:val="611834CF"/>
    <w:rsid w:val="61881DC3"/>
    <w:rsid w:val="627666FF"/>
    <w:rsid w:val="62F31AFE"/>
    <w:rsid w:val="6393508F"/>
    <w:rsid w:val="64153CF6"/>
    <w:rsid w:val="642108EC"/>
    <w:rsid w:val="64CF4144"/>
    <w:rsid w:val="65006BB0"/>
    <w:rsid w:val="674C7A2E"/>
    <w:rsid w:val="67554111"/>
    <w:rsid w:val="681349F0"/>
    <w:rsid w:val="683360D4"/>
    <w:rsid w:val="6953779A"/>
    <w:rsid w:val="69912070"/>
    <w:rsid w:val="6A4D243B"/>
    <w:rsid w:val="6B0F5943"/>
    <w:rsid w:val="6B690BC8"/>
    <w:rsid w:val="6BEA5A68"/>
    <w:rsid w:val="6C28360B"/>
    <w:rsid w:val="6C3311BD"/>
    <w:rsid w:val="6C6132BE"/>
    <w:rsid w:val="6C71128E"/>
    <w:rsid w:val="6CB10D5A"/>
    <w:rsid w:val="6D821C9F"/>
    <w:rsid w:val="6DFA1AA7"/>
    <w:rsid w:val="6F1F1ECC"/>
    <w:rsid w:val="6F3239AE"/>
    <w:rsid w:val="6F394D3C"/>
    <w:rsid w:val="719C3CEC"/>
    <w:rsid w:val="733028FA"/>
    <w:rsid w:val="73AA7753"/>
    <w:rsid w:val="7590179A"/>
    <w:rsid w:val="75E308CD"/>
    <w:rsid w:val="76764AC8"/>
    <w:rsid w:val="768D24F5"/>
    <w:rsid w:val="76FA1255"/>
    <w:rsid w:val="770A5210"/>
    <w:rsid w:val="77D53A70"/>
    <w:rsid w:val="77DF4340"/>
    <w:rsid w:val="783C294D"/>
    <w:rsid w:val="785126AD"/>
    <w:rsid w:val="78BF3F4F"/>
    <w:rsid w:val="78C167FC"/>
    <w:rsid w:val="79094DAE"/>
    <w:rsid w:val="790A1A19"/>
    <w:rsid w:val="79F0693F"/>
    <w:rsid w:val="7AA72953"/>
    <w:rsid w:val="7B551150"/>
    <w:rsid w:val="7BA06143"/>
    <w:rsid w:val="7BFE4205"/>
    <w:rsid w:val="7C333D17"/>
    <w:rsid w:val="7CF92AA5"/>
    <w:rsid w:val="7D1A0699"/>
    <w:rsid w:val="7D83313F"/>
    <w:rsid w:val="7E617E0B"/>
    <w:rsid w:val="7E6F1870"/>
    <w:rsid w:val="7EFF26CC"/>
    <w:rsid w:val="7F8551CC"/>
    <w:rsid w:val="7FB126CD"/>
    <w:rsid w:val="93D34688"/>
    <w:rsid w:val="FAEFB9DD"/>
    <w:rsid w:val="FF7774A0"/>
    <w:rsid w:val="FFCE6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autoRedefine/>
    <w:unhideWhenUsed/>
    <w:qFormat/>
    <w:uiPriority w:val="0"/>
    <w:pPr>
      <w:spacing w:after="120"/>
    </w:pPr>
  </w:style>
  <w:style w:type="paragraph" w:styleId="4">
    <w:name w:val="Balloon Text"/>
    <w:basedOn w:val="1"/>
    <w:link w:val="13"/>
    <w:qFormat/>
    <w:uiPriority w:val="0"/>
    <w:rPr>
      <w:sz w:val="18"/>
      <w:szCs w:val="18"/>
    </w:rPr>
  </w:style>
  <w:style w:type="paragraph" w:styleId="5">
    <w:name w:val="footer"/>
    <w:basedOn w:val="1"/>
    <w:autoRedefine/>
    <w:qFormat/>
    <w:uiPriority w:val="99"/>
    <w:pPr>
      <w:tabs>
        <w:tab w:val="center" w:pos="4153"/>
        <w:tab w:val="right" w:pos="8306"/>
      </w:tabs>
      <w:snapToGrid w:val="0"/>
      <w:jc w:val="left"/>
    </w:pPr>
    <w:rPr>
      <w:sz w:val="18"/>
      <w:szCs w:val="18"/>
    </w:rPr>
  </w:style>
  <w:style w:type="paragraph" w:styleId="6">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autoRedefine/>
    <w:qFormat/>
    <w:uiPriority w:val="10"/>
    <w:pPr>
      <w:spacing w:before="120" w:after="120"/>
      <w:jc w:val="center"/>
      <w:outlineLvl w:val="0"/>
    </w:pPr>
    <w:rPr>
      <w:rFonts w:ascii="方正小标宋简体" w:hAnsi="等线 Light" w:eastAsia="方正小标宋简体"/>
      <w:sz w:val="44"/>
      <w:szCs w:val="44"/>
    </w:rPr>
  </w:style>
  <w:style w:type="character" w:styleId="10">
    <w:name w:val="page number"/>
    <w:basedOn w:val="9"/>
    <w:autoRedefine/>
    <w:qFormat/>
    <w:uiPriority w:val="0"/>
  </w:style>
  <w:style w:type="character" w:styleId="11">
    <w:name w:val="Emphasis"/>
    <w:basedOn w:val="9"/>
    <w:autoRedefine/>
    <w:qFormat/>
    <w:uiPriority w:val="0"/>
    <w:rPr>
      <w:i/>
    </w:rPr>
  </w:style>
  <w:style w:type="paragraph" w:styleId="12">
    <w:name w:val="List Paragraph"/>
    <w:basedOn w:val="1"/>
    <w:unhideWhenUsed/>
    <w:uiPriority w:val="99"/>
    <w:pPr>
      <w:ind w:firstLine="420" w:firstLineChars="200"/>
    </w:pPr>
  </w:style>
  <w:style w:type="character" w:customStyle="1" w:styleId="13">
    <w:name w:val="批注框文本 Char"/>
    <w:basedOn w:val="9"/>
    <w:link w:val="4"/>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png"/><Relationship Id="rId13" Type="http://schemas.openxmlformats.org/officeDocument/2006/relationships/image" Target="media/image9.jpe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691</Words>
  <Characters>698</Characters>
  <Lines>18</Lines>
  <Paragraphs>5</Paragraphs>
  <TotalTime>52</TotalTime>
  <ScaleCrop>false</ScaleCrop>
  <LinksUpToDate>false</LinksUpToDate>
  <CharactersWithSpaces>698</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2023-12-12T17:21:00Z</dcterms:created>
  <dc:creator>R</dc:creator>
  <cp:lastModifiedBy>周俊亦</cp:lastModifiedBy>
  <dcterms:modified xsi:type="dcterms:W3CDTF">2025-09-26T08:12:45Z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F2B3D484C5B74A80901CBF8DED896298_13</vt:lpwstr>
  </property>
  <property fmtid="{D5CDD505-2E9C-101B-9397-08002B2CF9AE}" pid="4" name="KSOTemplateDocerSaveRecord">
    <vt:lpwstr>eyJoZGlkIjoiOWEzYmY2YzU3Yjg4MjFhNTY3NjNjODg3MGVhN2Y2YmIiLCJ1c2VySWQiOiIzMDMxMTk4MDkifQ==</vt:lpwstr>
  </property>
</Properties>
</file>