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83475">
      <w:pPr>
        <w:spacing w:line="343" w:lineRule="auto"/>
        <w:jc w:val="center"/>
        <w:rPr>
          <w:rFonts w:ascii="方正小标宋简体" w:eastAsia="方正小标宋简体"/>
          <w:color w:val="000000"/>
          <w:sz w:val="44"/>
          <w:szCs w:val="44"/>
        </w:rPr>
      </w:pPr>
      <w:r>
        <w:rPr>
          <w:rFonts w:hint="eastAsia" w:ascii="方正小标宋简体" w:eastAsia="方正小标宋简体"/>
          <w:color w:val="000000"/>
          <w:sz w:val="44"/>
          <w:szCs w:val="44"/>
        </w:rPr>
        <w:t>云南省华宁县烟草专卖局关于《云南省华宁县烟草制品零售点合理布局规划》修订说明</w:t>
      </w:r>
    </w:p>
    <w:p w14:paraId="780588B9">
      <w:pPr>
        <w:spacing w:line="343" w:lineRule="auto"/>
        <w:ind w:firstLine="640" w:firstLineChars="200"/>
        <w:rPr>
          <w:rFonts w:ascii="仿宋_GB2312" w:hAnsi="仿宋_GB2312" w:eastAsia="仿宋_GB2312" w:cs="仿宋_GB2312"/>
          <w:color w:val="000000"/>
          <w:sz w:val="32"/>
          <w:szCs w:val="32"/>
        </w:rPr>
      </w:pPr>
    </w:p>
    <w:p w14:paraId="7F690B49">
      <w:pPr>
        <w:spacing w:line="343"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为适应烟草制品零售市场发展趋势，保持零售户数量合理稳定，合理配置烟草市场资源，规范烟草制品经营，维护国家利益，维护烟草制品经营者、消费者的合法权益，促进烟草市场健康发展，云南省华宁县烟草专卖局根据《中华人民共和国行政许可法》《中华人民共和国烟草专卖法》《中华人民共和国烟草专卖法实施条例》《烟草专卖许可证管理办法》《烟草专卖许可证管理办法实施细则》</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b w:val="0"/>
          <w:bCs w:val="0"/>
          <w:i w:val="0"/>
          <w:caps w:val="0"/>
          <w:color w:val="000000"/>
          <w:spacing w:val="0"/>
          <w:sz w:val="32"/>
          <w:szCs w:val="32"/>
          <w:shd w:val="clear" w:fill="FFFFFF"/>
          <w:lang w:val="en-US" w:eastAsia="zh-CN"/>
        </w:rPr>
        <w:t>省局《云南省烟草专卖局办公室关于优化和调整烟草专卖零售许可证办理有关措施的通知》（</w:t>
      </w:r>
      <w:r>
        <w:rPr>
          <w:rFonts w:ascii="仿宋_GB2312" w:hAnsi="宋体" w:eastAsia="仿宋_GB2312" w:cs="仿宋_GB2312"/>
          <w:color w:val="000000"/>
          <w:kern w:val="0"/>
          <w:sz w:val="31"/>
          <w:szCs w:val="31"/>
          <w:lang w:val="en-US" w:eastAsia="zh-CN" w:bidi="ar"/>
        </w:rPr>
        <w:t>云烟办综〔2026〕94号</w:t>
      </w:r>
      <w:r>
        <w:rPr>
          <w:rFonts w:hint="eastAsia" w:ascii="仿宋_GB2312" w:hAnsi="仿宋_GB2312" w:eastAsia="仿宋_GB2312" w:cs="仿宋_GB2312"/>
          <w:b w:val="0"/>
          <w:bCs w:val="0"/>
          <w:i w:val="0"/>
          <w:caps w:val="0"/>
          <w:color w:val="000000"/>
          <w:spacing w:val="0"/>
          <w:sz w:val="32"/>
          <w:szCs w:val="32"/>
          <w:shd w:val="clear" w:fill="FFFFFF"/>
          <w:lang w:val="en-US" w:eastAsia="zh-CN"/>
        </w:rPr>
        <w:t>）</w:t>
      </w:r>
      <w:r>
        <w:rPr>
          <w:rFonts w:hint="eastAsia" w:ascii="仿宋_GB2312" w:hAnsi="仿宋_GB2312" w:eastAsia="仿宋_GB2312" w:cs="仿宋_GB2312"/>
          <w:color w:val="000000"/>
          <w:sz w:val="32"/>
          <w:szCs w:val="32"/>
        </w:rPr>
        <w:t>等法律、法规、规章和规范性文件，</w:t>
      </w:r>
      <w:r>
        <w:rPr>
          <w:rFonts w:hint="eastAsia" w:ascii="仿宋_GB2312" w:hAnsi="Times New Roman" w:eastAsia="仿宋_GB2312" w:cs="Times New Roman"/>
          <w:color w:val="000000"/>
          <w:sz w:val="32"/>
          <w:szCs w:val="32"/>
        </w:rPr>
        <w:t>结合华宁县实际，提请对《云南省华宁县烟草制品零售点合理布局规划》（华烟专〔202</w:t>
      </w:r>
      <w:r>
        <w:rPr>
          <w:rFonts w:hint="eastAsia" w:ascii="仿宋_GB2312" w:hAnsi="Times New Roman" w:eastAsia="仿宋_GB2312" w:cs="Times New Roman"/>
          <w:color w:val="000000"/>
          <w:sz w:val="32"/>
          <w:szCs w:val="32"/>
          <w:lang w:val="en-US" w:eastAsia="zh-CN"/>
        </w:rPr>
        <w:t>5</w:t>
      </w:r>
      <w:r>
        <w:rPr>
          <w:rFonts w:hint="eastAsia" w:ascii="仿宋_GB2312" w:hAnsi="Times New Roman" w:eastAsia="仿宋_GB2312" w:cs="Times New Roman"/>
          <w:color w:val="000000"/>
          <w:sz w:val="32"/>
          <w:szCs w:val="32"/>
        </w:rPr>
        <w:t>〕</w:t>
      </w:r>
      <w:r>
        <w:rPr>
          <w:rFonts w:hint="eastAsia" w:ascii="仿宋_GB2312" w:hAnsi="Times New Roman" w:eastAsia="仿宋_GB2312" w:cs="Times New Roman"/>
          <w:color w:val="000000"/>
          <w:sz w:val="32"/>
          <w:szCs w:val="32"/>
          <w:lang w:val="en-US" w:eastAsia="zh-CN"/>
        </w:rPr>
        <w:t>11</w:t>
      </w:r>
      <w:r>
        <w:rPr>
          <w:rFonts w:hint="eastAsia" w:ascii="仿宋_GB2312" w:hAnsi="Times New Roman" w:eastAsia="仿宋_GB2312" w:cs="Times New Roman"/>
          <w:color w:val="000000"/>
          <w:sz w:val="32"/>
          <w:szCs w:val="32"/>
        </w:rPr>
        <w:t>号）作修订，现将《云南省华宁县烟草制品零售点合理布局规划》（</w:t>
      </w:r>
      <w:r>
        <w:rPr>
          <w:rFonts w:hint="eastAsia" w:ascii="仿宋_GB2312" w:hAnsi="仿宋_GB2312" w:eastAsia="仿宋_GB2312" w:cs="仿宋_GB2312"/>
          <w:color w:val="000000"/>
          <w:sz w:val="32"/>
          <w:szCs w:val="32"/>
        </w:rPr>
        <w:t>以下简称</w:t>
      </w:r>
      <w:r>
        <w:rPr>
          <w:rFonts w:hint="eastAsia" w:ascii="仿宋_GB2312" w:hAnsi="Times New Roman" w:eastAsia="仿宋_GB2312" w:cs="Times New Roman"/>
          <w:color w:val="000000"/>
          <w:sz w:val="32"/>
          <w:szCs w:val="32"/>
        </w:rPr>
        <w:t>《规划</w:t>
      </w:r>
      <w:r>
        <w:rPr>
          <w:rFonts w:hint="eastAsia" w:ascii="仿宋_GB2312" w:hAnsi="Times New Roman" w:eastAsia="仿宋_GB2312" w:cs="Times New Roman"/>
          <w:color w:val="000000"/>
          <w:sz w:val="32"/>
          <w:szCs w:val="32"/>
          <w:lang w:eastAsia="zh-CN"/>
        </w:rPr>
        <w:t>（听证稿）</w:t>
      </w:r>
      <w:r>
        <w:rPr>
          <w:rFonts w:hint="eastAsia" w:ascii="仿宋_GB2312" w:hAnsi="Times New Roman" w:eastAsia="仿宋_GB2312" w:cs="Times New Roman"/>
          <w:color w:val="000000"/>
          <w:sz w:val="32"/>
          <w:szCs w:val="32"/>
        </w:rPr>
        <w:t>》</w:t>
      </w:r>
      <w:r>
        <w:rPr>
          <w:rFonts w:hint="eastAsia" w:ascii="仿宋_GB2312" w:hAnsi="仿宋_GB2312" w:eastAsia="仿宋_GB2312" w:cs="仿宋_GB2312"/>
          <w:color w:val="000000"/>
          <w:sz w:val="32"/>
          <w:szCs w:val="32"/>
        </w:rPr>
        <w:t>的修订说明如下：</w:t>
      </w:r>
    </w:p>
    <w:p w14:paraId="10FC640F">
      <w:pPr>
        <w:spacing w:line="343" w:lineRule="auto"/>
        <w:ind w:firstLine="640" w:firstLineChars="200"/>
        <w:rPr>
          <w:rFonts w:ascii="黑体" w:hAnsi="黑体" w:eastAsia="黑体" w:cs="仿宋_GB2312"/>
          <w:color w:val="000000"/>
          <w:sz w:val="32"/>
          <w:szCs w:val="32"/>
        </w:rPr>
      </w:pPr>
      <w:r>
        <w:rPr>
          <w:rFonts w:hint="eastAsia" w:ascii="黑体" w:hAnsi="黑体" w:eastAsia="黑体" w:cs="仿宋_GB2312"/>
          <w:color w:val="000000"/>
          <w:sz w:val="32"/>
          <w:szCs w:val="32"/>
        </w:rPr>
        <w:t>一、《规划</w:t>
      </w:r>
      <w:r>
        <w:rPr>
          <w:rFonts w:hint="eastAsia" w:ascii="黑体" w:hAnsi="黑体" w:eastAsia="黑体" w:cs="仿宋_GB2312"/>
          <w:color w:val="000000"/>
          <w:sz w:val="32"/>
          <w:szCs w:val="32"/>
          <w:lang w:eastAsia="zh-CN"/>
        </w:rPr>
        <w:t>（听证稿）</w:t>
      </w:r>
      <w:r>
        <w:rPr>
          <w:rFonts w:hint="eastAsia" w:ascii="黑体" w:hAnsi="黑体" w:eastAsia="黑体" w:cs="仿宋_GB2312"/>
          <w:color w:val="000000"/>
          <w:sz w:val="32"/>
          <w:szCs w:val="32"/>
        </w:rPr>
        <w:t>》修订的法律依据</w:t>
      </w:r>
    </w:p>
    <w:p w14:paraId="0C537477">
      <w:pPr>
        <w:spacing w:line="343"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依照《烟草专卖许可证管理办法》（工信部令第37号）第十五条：“制定烟草制品零售点合理布局规划时，应当根据辖区内的人口数量、交通状况、经济发展水平、消费能力等因素，在举行听证后确定零售点的合理布局规划。烟草制品零售点合理布局规划、经营资金要求和经营场所条件，由县级以上烟草专卖局制定，并报上一级烟草专卖局备案”的规定，全省各地烟草制品零售点合理布局规划由县级烟草专卖局为主体制定。</w:t>
      </w:r>
    </w:p>
    <w:p w14:paraId="4476F58C">
      <w:pPr>
        <w:spacing w:line="343"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《规划</w:t>
      </w:r>
      <w:r>
        <w:rPr>
          <w:rFonts w:hint="eastAsia" w:ascii="仿宋_GB2312" w:hAnsi="仿宋_GB2312" w:eastAsia="仿宋_GB2312" w:cs="仿宋_GB2312"/>
          <w:color w:val="000000"/>
          <w:sz w:val="32"/>
          <w:szCs w:val="32"/>
          <w:lang w:eastAsia="zh-CN"/>
        </w:rPr>
        <w:t>（听证稿）</w:t>
      </w:r>
      <w:r>
        <w:rPr>
          <w:rFonts w:hint="eastAsia" w:ascii="仿宋_GB2312" w:hAnsi="仿宋_GB2312" w:eastAsia="仿宋_GB2312" w:cs="仿宋_GB2312"/>
          <w:color w:val="000000"/>
          <w:sz w:val="32"/>
          <w:szCs w:val="32"/>
        </w:rPr>
        <w:t>》依据《中华人民共和国行政许可法》《中华人民共和国未成年人保护法》《中华人民共和国烟草专卖法》《中华人民共和国烟草专卖法实施条例》《烟草专卖许可证管理办法》《烟草专卖许可证管理办法实施细则》等法律法规和规章，并结合本辖区实际修订。</w:t>
      </w:r>
    </w:p>
    <w:p w14:paraId="4B96BA77">
      <w:pPr>
        <w:spacing w:line="343" w:lineRule="auto"/>
        <w:ind w:firstLine="640" w:firstLineChars="200"/>
        <w:rPr>
          <w:rFonts w:ascii="黑体" w:hAnsi="黑体" w:eastAsia="黑体" w:cs="仿宋_GB2312"/>
          <w:color w:val="000000"/>
          <w:sz w:val="32"/>
          <w:szCs w:val="32"/>
        </w:rPr>
      </w:pPr>
      <w:r>
        <w:rPr>
          <w:rFonts w:hint="eastAsia" w:ascii="黑体" w:hAnsi="黑体" w:eastAsia="黑体" w:cs="仿宋_GB2312"/>
          <w:color w:val="000000"/>
          <w:sz w:val="32"/>
          <w:szCs w:val="32"/>
        </w:rPr>
        <w:t>二、《规划</w:t>
      </w:r>
      <w:r>
        <w:rPr>
          <w:rFonts w:hint="eastAsia" w:ascii="黑体" w:hAnsi="黑体" w:eastAsia="黑体" w:cs="仿宋_GB2312"/>
          <w:color w:val="000000"/>
          <w:sz w:val="32"/>
          <w:szCs w:val="32"/>
          <w:lang w:eastAsia="zh-CN"/>
        </w:rPr>
        <w:t>（听证稿）</w:t>
      </w:r>
      <w:r>
        <w:rPr>
          <w:rFonts w:hint="eastAsia" w:ascii="黑体" w:hAnsi="黑体" w:eastAsia="黑体" w:cs="仿宋_GB2312"/>
          <w:color w:val="000000"/>
          <w:sz w:val="32"/>
          <w:szCs w:val="32"/>
        </w:rPr>
        <w:t>》修订的必要性</w:t>
      </w:r>
    </w:p>
    <w:p w14:paraId="690935C0">
      <w:pPr>
        <w:spacing w:line="343"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华宁县烟草专卖局202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日施行的《</w:t>
      </w:r>
      <w:r>
        <w:rPr>
          <w:rFonts w:hint="eastAsia" w:ascii="仿宋_GB2312" w:hAnsi="Times New Roman" w:eastAsia="仿宋_GB2312" w:cs="Times New Roman"/>
          <w:color w:val="000000"/>
          <w:sz w:val="32"/>
          <w:szCs w:val="32"/>
        </w:rPr>
        <w:t>云南省华宁县烟草制品零售点合理布局规划</w:t>
      </w:r>
      <w:r>
        <w:rPr>
          <w:rFonts w:hint="eastAsia" w:ascii="仿宋_GB2312" w:hAnsi="仿宋_GB2312" w:eastAsia="仿宋_GB2312" w:cs="仿宋_GB2312"/>
          <w:color w:val="000000"/>
          <w:sz w:val="32"/>
          <w:szCs w:val="32"/>
        </w:rPr>
        <w:t>》（华烟专〔202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号）对合理规划华宁县烟草制品零售点布局，提升烟草专卖零售许可政务服务水平和促进卷烟市场健康有序的发展等方面起到了积极的作用。</w:t>
      </w:r>
      <w:r>
        <w:rPr>
          <w:rFonts w:hint="eastAsia" w:ascii="仿宋_GB2312" w:hAnsi="仿宋_GB2312" w:eastAsia="仿宋_GB2312" w:cs="仿宋_GB2312"/>
          <w:color w:val="000000"/>
          <w:sz w:val="32"/>
          <w:szCs w:val="32"/>
          <w:lang w:val="en-US" w:eastAsia="zh-CN"/>
        </w:rPr>
        <w:t>但</w:t>
      </w:r>
      <w:r>
        <w:rPr>
          <w:rFonts w:hint="eastAsia" w:ascii="仿宋_GB2312" w:hAnsi="仿宋_GB2312" w:eastAsia="仿宋_GB2312" w:cs="仿宋_GB2312"/>
          <w:color w:val="000000"/>
          <w:sz w:val="32"/>
          <w:szCs w:val="32"/>
        </w:rPr>
        <w:t>为主动适配华宁县经济社会发展、人口结构变动、城乡建设迭代以及卷烟消费市场实际变化，进一步规范烟草专卖零售许可审批，补齐原有布局制度短板，理顺许可管理规则，统一制度执行口径，提升规划的科学性、实操性与规范性，对现有烟草制品零售点合理布局规划开展修订十分必要，主要体现在以下方面：</w:t>
      </w:r>
    </w:p>
    <w:p w14:paraId="3674485C">
      <w:pPr>
        <w:spacing w:line="343"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是适配市场发展实际，实现零售总量动态科学调控的现实需要。随着县域经济社会持续发展，城乡人口规模、消费能力、市场容量均发生相应变化，原有零售点总量规划基数已难以完全匹配当前市场实际。本次结合辖区人口、社会经济、卷烟消费需求、存量零售户数量开展综合测算，合理调整零售点规划总量，实行定期评价、动态管理，适度预留市场准入空间，推动零售户总量与消费需求相适配，优化烟草市场资源配置，维护市场供需基本平衡，保障卷烟零售市场平稳健康发展。</w:t>
      </w:r>
    </w:p>
    <w:p w14:paraId="5195EB62">
      <w:pPr>
        <w:spacing w:line="343" w:lineRule="auto"/>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二是优化制度体例结构，提升规划规范层级与执行刚性的立法技术需要。本次将附件中农村零售点布局、农贸市场设置等关键条款整合提升，清理附件冗余内容，理顺规划体例架构，消除正文与附件规则冲突隐患，实现制度体系统一。既强化条款约束力与执行刚性，也便于许可工作人员执行监督，同时方便社会公众查阅知晓规划内容，提升规划规范化水平。</w:t>
      </w:r>
    </w:p>
    <w:p w14:paraId="7E6B5938">
      <w:pPr>
        <w:spacing w:line="343"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highlight w:val="none"/>
        </w:rPr>
        <w:t>三是细化</w:t>
      </w:r>
      <w:r>
        <w:rPr>
          <w:rFonts w:hint="eastAsia" w:ascii="仿宋_GB2312" w:hAnsi="仿宋_GB2312" w:eastAsia="仿宋_GB2312" w:cs="仿宋_GB2312"/>
          <w:color w:val="000000"/>
          <w:sz w:val="32"/>
          <w:szCs w:val="32"/>
        </w:rPr>
        <w:t>特殊场景布局规则，补齐差异化管控条款的实践需要。县域内商场超市、大型商业场所、商用办公楼宇属于差异化经营场景，原有规划未针对上述特殊经营主体、商业空间制定专门布局标准，直接套用普通单元网格布局规则存在明显不合理性。本次增设大型商超烟草零售点、商用办公楼宇专项布局条款，区分不同场景经营特点、客流规模、消费需求实行分类管控，兼顾市场供给与竞争平衡，避免过度竞争，实现精准施策、科学布点。</w:t>
      </w:r>
    </w:p>
    <w:p w14:paraId="7E3ADBB6">
      <w:pPr>
        <w:spacing w:line="343"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是健全正向激励机制，稳定持证零售队伍，保护守法经营主体权益的治理需要。实际许可工作中，部分长期连续经营、无涉烟违法记录的老持证户，因房租到期、租金上涨等非主观客观因素需要搬迁，若完全套用网格数量、间距条件，容易造成守法经营主体被迫退出市场。本次新增对长期诚信守法持证户搬迁的政策倾斜条款，在坚守合法合规底线前提下适度放宽部分布局条件，对守法经营主体实施正向激励，减少客观因素带来的经营中断风险，稳定卷烟零售主体队伍，充分保护长期合规经营者生存发展权益，进一步维护零售市场秩序稳定。</w:t>
      </w:r>
    </w:p>
    <w:p w14:paraId="418D66B3">
      <w:pPr>
        <w:spacing w:line="343" w:lineRule="auto"/>
        <w:ind w:firstLine="640" w:firstLineChars="200"/>
        <w:rPr>
          <w:rFonts w:ascii="黑体" w:hAnsi="黑体" w:eastAsia="黑体" w:cs="仿宋_GB2312"/>
          <w:color w:val="000000"/>
          <w:sz w:val="32"/>
          <w:szCs w:val="32"/>
        </w:rPr>
      </w:pPr>
      <w:r>
        <w:rPr>
          <w:rFonts w:hint="eastAsia" w:ascii="黑体" w:hAnsi="黑体" w:eastAsia="黑体" w:cs="仿宋_GB2312"/>
          <w:color w:val="000000"/>
          <w:sz w:val="32"/>
          <w:szCs w:val="32"/>
        </w:rPr>
        <w:t>三、《规划</w:t>
      </w:r>
      <w:r>
        <w:rPr>
          <w:rFonts w:hint="eastAsia" w:ascii="黑体" w:hAnsi="黑体" w:eastAsia="黑体" w:cs="仿宋_GB2312"/>
          <w:color w:val="000000"/>
          <w:sz w:val="32"/>
          <w:szCs w:val="32"/>
          <w:lang w:eastAsia="zh-CN"/>
        </w:rPr>
        <w:t>（听证稿）</w:t>
      </w:r>
      <w:r>
        <w:rPr>
          <w:rFonts w:hint="eastAsia" w:ascii="黑体" w:hAnsi="黑体" w:eastAsia="黑体" w:cs="仿宋_GB2312"/>
          <w:color w:val="000000"/>
          <w:sz w:val="32"/>
          <w:szCs w:val="32"/>
        </w:rPr>
        <w:t>》修订的主要内容及相关说明</w:t>
      </w:r>
    </w:p>
    <w:p w14:paraId="0D4C1C36">
      <w:pPr>
        <w:spacing w:line="343" w:lineRule="auto"/>
        <w:ind w:firstLine="640" w:firstLineChars="200"/>
        <w:rPr>
          <w:rFonts w:ascii="楷体" w:hAnsi="楷体" w:eastAsia="楷体" w:cs="仿宋_GB2312"/>
          <w:color w:val="000000"/>
          <w:sz w:val="32"/>
          <w:szCs w:val="32"/>
        </w:rPr>
      </w:pPr>
      <w:r>
        <w:rPr>
          <w:rFonts w:hint="eastAsia" w:ascii="楷体" w:hAnsi="楷体" w:eastAsia="楷体" w:cs="仿宋_GB2312"/>
          <w:color w:val="000000"/>
          <w:sz w:val="32"/>
          <w:szCs w:val="32"/>
        </w:rPr>
        <w:t>（一）《规划</w:t>
      </w:r>
      <w:r>
        <w:rPr>
          <w:rFonts w:hint="eastAsia" w:ascii="楷体" w:hAnsi="楷体" w:eastAsia="楷体" w:cs="仿宋_GB2312"/>
          <w:color w:val="000000"/>
          <w:sz w:val="32"/>
          <w:szCs w:val="32"/>
          <w:lang w:eastAsia="zh-CN"/>
        </w:rPr>
        <w:t>（听证稿）</w:t>
      </w:r>
      <w:r>
        <w:rPr>
          <w:rFonts w:hint="eastAsia" w:ascii="楷体" w:hAnsi="楷体" w:eastAsia="楷体" w:cs="仿宋_GB2312"/>
          <w:color w:val="000000"/>
          <w:sz w:val="32"/>
          <w:szCs w:val="32"/>
        </w:rPr>
        <w:t>》修订的主要内容</w:t>
      </w:r>
    </w:p>
    <w:p w14:paraId="09E646CB">
      <w:pPr>
        <w:spacing w:line="343"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《规划（</w:t>
      </w:r>
      <w:r>
        <w:rPr>
          <w:rFonts w:hint="eastAsia" w:ascii="仿宋_GB2312" w:hAnsi="仿宋_GB2312" w:eastAsia="仿宋_GB2312" w:cs="仿宋_GB2312"/>
          <w:color w:val="000000"/>
          <w:sz w:val="32"/>
          <w:szCs w:val="32"/>
          <w:lang w:eastAsia="zh-CN"/>
        </w:rPr>
        <w:t>听证稿</w:t>
      </w:r>
      <w:r>
        <w:rPr>
          <w:rFonts w:hint="eastAsia" w:ascii="仿宋_GB2312" w:hAnsi="仿宋_GB2312" w:eastAsia="仿宋_GB2312" w:cs="仿宋_GB2312"/>
          <w:color w:val="000000"/>
          <w:sz w:val="32"/>
          <w:szCs w:val="32"/>
        </w:rPr>
        <w:t>）》立足辖区市场实际，对照上位法律法规、规范性文件以及上级工作要求，对原《云南省华宁县烟草制品零售点合理布局规划》（华烟专〔2025〕11 号）开展系统性修订完善。本次修订包含新增条款、修改正文条款、调整附件内容、优化标题表述、调整规划总量、理顺条文序号等多项工作，补齐制度短板，统一执行口径，进一步提升规划合法性、严谨性与可操作性。</w:t>
      </w:r>
    </w:p>
    <w:p w14:paraId="3B063F09">
      <w:pPr>
        <w:spacing w:line="343" w:lineRule="auto"/>
        <w:ind w:firstLine="640" w:firstLineChars="200"/>
        <w:rPr>
          <w:rFonts w:ascii="楷体" w:hAnsi="楷体" w:eastAsia="楷体" w:cs="仿宋_GB2312"/>
          <w:color w:val="000000"/>
          <w:sz w:val="32"/>
          <w:szCs w:val="32"/>
        </w:rPr>
      </w:pPr>
      <w:r>
        <w:rPr>
          <w:rFonts w:hint="eastAsia" w:ascii="楷体" w:hAnsi="楷体" w:eastAsia="楷体" w:cs="仿宋_GB2312"/>
          <w:color w:val="000000"/>
          <w:sz w:val="32"/>
          <w:szCs w:val="32"/>
        </w:rPr>
        <w:t>（二）《规划</w:t>
      </w:r>
      <w:r>
        <w:rPr>
          <w:rFonts w:hint="eastAsia" w:ascii="楷体" w:hAnsi="楷体" w:eastAsia="楷体" w:cs="仿宋_GB2312"/>
          <w:color w:val="000000"/>
          <w:sz w:val="32"/>
          <w:szCs w:val="32"/>
          <w:lang w:eastAsia="zh-CN"/>
        </w:rPr>
        <w:t>（听证稿）</w:t>
      </w:r>
      <w:r>
        <w:rPr>
          <w:rFonts w:hint="eastAsia" w:ascii="楷体" w:hAnsi="楷体" w:eastAsia="楷体" w:cs="仿宋_GB2312"/>
          <w:color w:val="000000"/>
          <w:sz w:val="32"/>
          <w:szCs w:val="32"/>
        </w:rPr>
        <w:t>》修订的具体条款及其说明</w:t>
      </w:r>
    </w:p>
    <w:p w14:paraId="023C518C">
      <w:pPr>
        <w:spacing w:line="343"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1.优化第二章、附件2、附件3及第十五条标题与引用表述</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将原第二章标题“雪茄烟专营外零售点布局标准”修改为“零售点布局标准”；附件2标题“附件2：云南省华宁县烟草制品雪茄烟专营外零售点合理布局公示表”修改为“附件</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：云南省华宁县烟草制品零售点合理布局公示表”；附件 3标题“附件 3：云南省华宁县烟草制品雪茄烟专营外零售点合理布局网格示意图”修改为“附件3：云南省华宁县烟草制品零售点合理布局网格示意图”。同步对第十五条引用附件的文字作出对应修改，原条文：“本县零售点合理布局规划数及规划区域、单元网格等情况详见《云南省华宁县烟草制品雪茄烟专营外零售点合理布局公示表》（附件2）及《云南省华宁县烟草制品雪茄烟专营外零售点合理布局网格示意图》（附件3）。”调整为：“本县零售点合理布局规划数及规划区域、单元网格等情况详见《云南省华宁县烟草制品零售点合理布局公示表》（附件2）及《云南省华宁县烟草制品零售点合理布局网格示意图》（附件3）。”</w:t>
      </w:r>
    </w:p>
    <w:p w14:paraId="126B3B59">
      <w:pPr>
        <w:spacing w:line="343"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修改理由：原标题带有冗余限定修饰，表述繁琐。修改后清晰区分通用零售点布局标准与雪茄烟专营零售点特殊布局标准，规划层级划分清晰、逻辑严谨。本次修订仅优化文字表述，零售点布局管控规则、制度适用范围均未作出实质调整，不影响规划落地</w:t>
      </w:r>
      <w:r>
        <w:rPr>
          <w:rFonts w:hint="eastAsia" w:ascii="仿宋_GB2312" w:hAnsi="仿宋_GB2312" w:eastAsia="仿宋_GB2312" w:cs="仿宋_GB2312"/>
          <w:color w:val="000000"/>
          <w:sz w:val="32"/>
          <w:szCs w:val="32"/>
          <w:lang w:eastAsia="zh-CN"/>
        </w:rPr>
        <w:t>执行。</w:t>
      </w:r>
    </w:p>
    <w:p w14:paraId="07845EB6">
      <w:pPr>
        <w:spacing w:line="343" w:lineRule="auto"/>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规划（听证稿）》新增第十一条“符合下列情形之一的，可不受所在区域单元网格零售点规划数量、间距标准限制，可单独设置1个零售点：（一）经营场所实际经营面积（不包括仓库、车库、休息室、办公场所等辅助设施面积）在200平方米以上的商场、超市、便利店、烟草专业店；（二）商用办公楼宇公共楼层已形成实际商品展卖场所的，每栋楼宇可设置1个零售点；非公共楼层不予设置零售点。”</w:t>
      </w:r>
    </w:p>
    <w:p w14:paraId="1F74403C">
      <w:pPr>
        <w:spacing w:line="343" w:lineRule="auto"/>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设置理由：经营面积达200平方米以上的商场、超市、便利店及烟草专业店，普遍经营规模较大、内部管理制度规范，综合经营能力与资信状况较好，卷烟经营软硬件条件优于普通零售网点，场所客流稳定、消费需求集中，具备独立布设烟草零售点的现实市场基础；该类主体经营模式较为规范，对全域零售市场秩序冲击相对有限，不宜直接套用普通单元网格的点位数量、间距管控标准，增设差异化布设条款，能够破解大型合规商业网点受常规网格布局限制难以准入的问题，精准匹配大型商业场所集中消费需求，补齐重点商业场景卷烟供给短板。针对商用办公楼宇，已形成实际商品展卖功能的公共楼层人员流动密集，存在稳定合理的卷烟消费需求，明确每栋楼宇可设置1个烟草零售点，既补齐楼宇内部消费供给空白，满足办公人员及往来人员日常消费，又严格管控点位规模，避免对周边零售市场形成过度竞争，维护市场秩序平稳；非公共楼层不具备对外开放经营条件，无常态化商品展卖及对外消费场景，不符合零售点布设条件，明确不予设置零售点，从制度上防范依托纯办公场所违规申办许可证的情形。本条款立足辖区经营实际，借鉴各地合理布局成熟实践经验，坚持因地制宜、分类管控的规划理念，通过分类施策、精准管控优化辖区卷烟零售市场供给结构，盘活市场资源，细化特殊商业场景准入规则，推动零售点布局更加科学规范，保障规划实施的统一性、科学性与严谨性。</w:t>
      </w:r>
    </w:p>
    <w:p w14:paraId="387AB04E">
      <w:pPr>
        <w:spacing w:line="343" w:lineRule="auto"/>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《规划（听证稿）》</w:t>
      </w:r>
      <w:r>
        <w:rPr>
          <w:rFonts w:hint="eastAsia" w:ascii="仿宋_GB2312" w:hAnsi="仿宋_GB2312" w:eastAsia="仿宋_GB2312" w:cs="仿宋_GB2312"/>
          <w:color w:val="000000"/>
          <w:sz w:val="32"/>
          <w:szCs w:val="32"/>
          <w:lang w:val="en-US" w:eastAsia="zh-CN"/>
        </w:rPr>
        <w:t>修改原《规划》第十五条第（十）项不予发证情形条款，内容由“（十）经营业态存在容易诱导未成年人关注、购买、吸食卷烟或其他不利于未成年人保护的；经营业态专业性较强，且与烟草制品零售业务没有直接或间接互补营销关系的；”调整为“（十）经营业态存在容易诱导未成年人关注、购买、吸食卷烟或其他不利于未成年人保护的；”。</w:t>
      </w:r>
    </w:p>
    <w:p w14:paraId="28673168">
      <w:pPr>
        <w:spacing w:line="343" w:lineRule="auto"/>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修改理由：现行烟草专卖法律、行政法规、部门规章以及国家局规范性文件，仅将经营场所安全不适宜、中小学及幼儿园周边禁设、主体资格瑕疵、涉烟违法惩戒期限未满等情形确定为不予核发许可证的法定情形，未赋予专卖部门以业态专业性、业态营销互补性作为办证前置准入条件的管理权限，增设该限制属于增设行政许可条件，缺乏上位法依据。同时，业态互补性属于主观判断标准，概念模糊，实务中界定难度大，容易造成审查尺度不统一，不利于优化营商环境。删除该内容后仅保留法定不予发证情形，进一步规范许可审查标准，有效降低行政法律风险。</w:t>
      </w:r>
    </w:p>
    <w:p w14:paraId="4E071E2E">
      <w:pPr>
        <w:spacing w:line="343" w:lineRule="auto"/>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lang w:eastAsia="zh-CN"/>
        </w:rPr>
        <w:t>《规划（听证稿）》</w:t>
      </w:r>
      <w:r>
        <w:rPr>
          <w:rFonts w:hint="eastAsia" w:ascii="仿宋_GB2312" w:hAnsi="仿宋_GB2312" w:eastAsia="仿宋_GB2312" w:cs="仿宋_GB2312"/>
          <w:color w:val="000000"/>
          <w:sz w:val="32"/>
          <w:szCs w:val="32"/>
        </w:rPr>
        <w:t>修改原《规划》第十六条</w:t>
      </w:r>
      <w:r>
        <w:rPr>
          <w:rFonts w:hint="eastAsia" w:ascii="仿宋_GB2312" w:hAnsi="仿宋_GB2312" w:eastAsia="仿宋_GB2312" w:cs="仿宋_GB2312"/>
          <w:color w:val="000000"/>
          <w:sz w:val="32"/>
          <w:szCs w:val="32"/>
          <w:lang w:val="en-US" w:eastAsia="zh-CN"/>
        </w:rPr>
        <w:t>第二款优化优抚对象范围及术语表述，将“烈士家属、因公牺牲军人家属；见义勇为牺牲人员家属（本条中的家属包括父母、子女、配偶）”修改为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烈士遗属、因公牺牲军人遗属、病故军人遗属（遗属包括配偶、父母〈抚养人〉、子女</w:t>
      </w:r>
      <w:r>
        <w:rPr>
          <w:rFonts w:hint="eastAsia" w:ascii="仿宋_GB2312" w:hAnsi="仿宋_GB2312" w:eastAsia="仿宋_GB2312" w:cs="仿宋_GB2312"/>
          <w:color w:val="auto"/>
          <w:sz w:val="32"/>
          <w:szCs w:val="32"/>
          <w:lang w:eastAsia="zh-CN"/>
        </w:rPr>
        <w:t>，以及由其承担抚养义务的兄弟姐妹。</w:t>
      </w:r>
      <w:r>
        <w:rPr>
          <w:rFonts w:hint="eastAsia" w:ascii="仿宋_GB2312" w:hAnsi="仿宋_GB2312" w:eastAsia="仿宋_GB2312" w:cs="仿宋_GB2312"/>
          <w:color w:val="auto"/>
          <w:sz w:val="32"/>
          <w:szCs w:val="32"/>
        </w:rPr>
        <w:t>）；见义勇为牺牲人员家属</w:t>
      </w:r>
      <w:r>
        <w:rPr>
          <w:rFonts w:hint="eastAsia" w:ascii="仿宋_GB2312" w:hAnsi="仿宋_GB2312" w:eastAsia="仿宋_GB2312" w:cs="仿宋_GB2312"/>
          <w:color w:val="auto"/>
          <w:sz w:val="32"/>
          <w:szCs w:val="32"/>
          <w:lang w:eastAsia="zh-CN"/>
        </w:rPr>
        <w:t>”。</w:t>
      </w:r>
    </w:p>
    <w:p w14:paraId="79014426">
      <w:pPr>
        <w:spacing w:line="343" w:lineRule="auto"/>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修改理由：依据</w:t>
      </w:r>
      <w:r>
        <w:rPr>
          <w:rFonts w:hint="eastAsia" w:ascii="仿宋_GB2312" w:hAnsi="仿宋_GB2312" w:eastAsia="仿宋_GB2312" w:cs="仿宋_GB2312"/>
          <w:color w:val="000000"/>
          <w:sz w:val="32"/>
          <w:szCs w:val="32"/>
        </w:rPr>
        <w:t>《中华人民共和国军人地位和权益保障法》、《军人抚恤优待条例》、《退役军人、其他优抚对象优待证管理办法（试行）》、《国务院办公厅转发民政部等部门关于加强见义勇为人员权益保护意见的通知》（国办发〔2012〕39号）及《云南省奖励和保护见义勇为人员条例》、《云南省烟草专卖局关于特殊群体办理烟草专卖零售许可证相关事宜的通知（试行）》（云烟专〔2024〕92 号）等相关优抚政策规定</w:t>
      </w:r>
      <w:r>
        <w:rPr>
          <w:rFonts w:hint="eastAsia" w:ascii="仿宋_GB2312" w:hAnsi="仿宋_GB2312" w:eastAsia="仿宋_GB2312" w:cs="仿宋_GB2312"/>
          <w:color w:val="000000"/>
          <w:sz w:val="32"/>
          <w:szCs w:val="32"/>
          <w:lang w:val="en-US" w:eastAsia="zh-CN"/>
        </w:rPr>
        <w:t>，病故军人遗属属于法定优抚对象，将其纳入优待范围，是落实拥军优属政策的具体举措，各地烟草专卖管理实践中已普遍执行。本次修订一是统一法律术语，把“烈士家属、因公牺牲军人家属”调整为法规规范表述“烈士遗属、因公牺牲军人遗属”，实现与国家优抚法规体系表述一致，提升条款合法性严谨性。二是补齐法定遗属认定范围，增加抚养人、符合条件的供养兄弟姐妹，解决原条款认定范围偏窄的问题，与退役军人事务部门优抚对象认定口径保持一致，防范政策适用争议。三是保留“见义勇为牺牲人员家属”原有表述，与地方立法规定保持一致，两类优待对象区分清晰、政策依据充分，契合全省特殊群体优待政策精神。通过修订，拓宽优抚政策覆盖范围，完善优待帮扶制度，保障病故军人遗属依法享受办证优待，彰显烟草行业以人为本、拥军优属的社会责任。</w:t>
      </w:r>
    </w:p>
    <w:p w14:paraId="27378CE7">
      <w:pPr>
        <w:spacing w:line="343" w:lineRule="auto"/>
        <w:ind w:firstLine="640" w:firstLineChars="200"/>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《规划（听证稿）》</w:t>
      </w:r>
      <w:r>
        <w:rPr>
          <w:rFonts w:hint="eastAsia" w:ascii="仿宋_GB2312" w:hAnsi="仿宋_GB2312" w:eastAsia="仿宋_GB2312" w:cs="仿宋_GB2312"/>
          <w:color w:val="000000"/>
          <w:sz w:val="32"/>
          <w:szCs w:val="32"/>
        </w:rPr>
        <w:t>修改原《规划》第十</w:t>
      </w:r>
      <w:r>
        <w:rPr>
          <w:rFonts w:hint="eastAsia" w:ascii="仿宋_GB2312" w:hAnsi="仿宋_GB2312" w:eastAsia="仿宋_GB2312" w:cs="仿宋_GB2312"/>
          <w:color w:val="000000"/>
          <w:sz w:val="32"/>
          <w:szCs w:val="32"/>
          <w:lang w:val="en-US" w:eastAsia="zh-CN"/>
        </w:rPr>
        <w:t>七</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val="en-US" w:eastAsia="zh-CN"/>
        </w:rPr>
        <w:t>第一款，</w:t>
      </w:r>
      <w:r>
        <w:rPr>
          <w:rFonts w:hint="eastAsia" w:ascii="仿宋_GB2312" w:hAnsi="仿宋_GB2312" w:eastAsia="仿宋_GB2312" w:cs="仿宋_GB2312"/>
          <w:color w:val="auto"/>
          <w:sz w:val="32"/>
          <w:szCs w:val="32"/>
        </w:rPr>
        <w:t>删除</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三十日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时限规定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将“因道路规划、城市建设等客观原因，造成持证人无法在原核定地址经营之日起三十日内，持证人申请变更到本单元网格内新址经营的，不受所在单元网格规划数限制，零售点间距可放宽至本单元网格间距标准的30%执行。”修改为“因道路规划、城市建设等客观原因，造成持证人无法在原核定地址经营，持证人申请变更到本单元网格内新址经营的，不受所在单元网格规划数限制，零售点间距可放宽至本单元网格间距标准的30%执行。”。</w:t>
      </w:r>
    </w:p>
    <w:p w14:paraId="7A50C5A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344" w:lineRule="auto"/>
        <w:ind w:firstLine="640" w:firstLineChars="200"/>
        <w:jc w:val="both"/>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修改理由：</w:t>
      </w:r>
      <w:r>
        <w:rPr>
          <w:rFonts w:hint="eastAsia" w:ascii="仿宋_GB2312" w:hAnsi="仿宋_GB2312" w:eastAsia="仿宋_GB2312" w:cs="仿宋_GB2312"/>
          <w:color w:val="auto"/>
          <w:sz w:val="32"/>
          <w:szCs w:val="32"/>
        </w:rPr>
        <w:t>一是消除时限设置的合法性争议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现行烟草专卖法律法规及上级布局规划文件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并未对该类因</w:t>
      </w:r>
      <w:r>
        <w:rPr>
          <w:rFonts w:hint="eastAsia" w:ascii="仿宋_GB2312" w:hAnsi="仿宋_GB2312" w:eastAsia="仿宋_GB2312" w:cs="仿宋_GB2312"/>
          <w:color w:val="auto"/>
          <w:sz w:val="32"/>
          <w:szCs w:val="32"/>
          <w:lang w:val="en-US" w:eastAsia="zh-CN"/>
        </w:rPr>
        <w:t>城市</w:t>
      </w:r>
      <w:r>
        <w:rPr>
          <w:rFonts w:hint="eastAsia" w:ascii="仿宋_GB2312" w:hAnsi="仿宋_GB2312" w:eastAsia="仿宋_GB2312" w:cs="仿宋_GB2312"/>
          <w:color w:val="auto"/>
          <w:sz w:val="32"/>
          <w:szCs w:val="32"/>
        </w:rPr>
        <w:t>建设、道路规划等客观不可抗力导致的经营地址变更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设置三十日申请期限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自行增设三十日时限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缺少上位文件支撑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存在行政审查法律风险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二是贴合客观实际情形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道路规划、城市建设类项目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征收搬迁、场地腾空的时间周期存在不确定性</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部分项目搬迁周期会超过三十日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固定三十日期限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容易出现持证人因客观项目进度原因</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超期而无法享受政策放宽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损害持证零售户合法权益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三是保留政策核心优待不变</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本次仅删除时限限制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该情形下网格数量、间距放宽的核心规则完整保留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不改变政策优待的适用条件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兼顾公共建设需要与零售户经营权益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一线执行口径保持稳定</w:t>
      </w:r>
      <w:r>
        <w:rPr>
          <w:rFonts w:hint="eastAsia" w:ascii="仿宋_GB2312" w:hAnsi="仿宋_GB2312" w:eastAsia="仿宋_GB2312" w:cs="仿宋_GB2312"/>
          <w:color w:val="auto"/>
          <w:sz w:val="32"/>
          <w:szCs w:val="32"/>
          <w:lang w:eastAsia="zh-CN"/>
        </w:rPr>
        <w:t>。</w:t>
      </w:r>
    </w:p>
    <w:p w14:paraId="4DDCB7F8">
      <w:pPr>
        <w:keepNext w:val="0"/>
        <w:keepLines w:val="0"/>
        <w:widowControl/>
        <w:numPr>
          <w:ilvl w:val="0"/>
          <w:numId w:val="0"/>
        </w:numPr>
        <w:suppressLineNumbers w:val="0"/>
        <w:ind w:firstLine="640" w:firstLine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lang w:eastAsia="zh-CN"/>
        </w:rPr>
        <w:t>《规划（听证稿）》</w:t>
      </w:r>
      <w:r>
        <w:rPr>
          <w:rFonts w:hint="eastAsia" w:ascii="仿宋_GB2312" w:hAnsi="仿宋_GB2312" w:eastAsia="仿宋_GB2312" w:cs="仿宋_GB2312"/>
          <w:color w:val="000000"/>
          <w:sz w:val="32"/>
          <w:szCs w:val="32"/>
        </w:rPr>
        <w:t>修改原《规划》第十</w:t>
      </w:r>
      <w:r>
        <w:rPr>
          <w:rFonts w:hint="eastAsia" w:ascii="仿宋_GB2312" w:hAnsi="仿宋_GB2312" w:eastAsia="仿宋_GB2312" w:cs="仿宋_GB2312"/>
          <w:color w:val="000000"/>
          <w:sz w:val="32"/>
          <w:szCs w:val="32"/>
          <w:lang w:val="en-US" w:eastAsia="zh-CN"/>
        </w:rPr>
        <w:t>八</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val="en-US" w:eastAsia="zh-CN"/>
        </w:rPr>
        <w:t>第一款，</w:t>
      </w:r>
      <w:r>
        <w:rPr>
          <w:rFonts w:hint="eastAsia" w:ascii="仿宋_GB2312" w:hAnsi="仿宋_GB2312" w:eastAsia="仿宋_GB2312" w:cs="仿宋_GB2312"/>
          <w:color w:val="auto"/>
          <w:sz w:val="32"/>
          <w:szCs w:val="32"/>
        </w:rPr>
        <w:t>删除</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三十日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时限规定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将“因中小学校及幼儿园新建、改扩建等客观原因，造成持证人无法在核定地址经营之日起三十日内，持证人申请歇业并在原单元网格内新址申请新办的不受所在地单元网格规划数限制，零售点间距可放宽至本单元网格间距的30%执行。”修改为“因中小学校及幼儿园新建、改扩建等客观原因，造成持证人无法在核定地址经营，持证人申请歇业并在原单元网格内新址申请新办的不受所在地单元网格规划数限制，零售点间距可放宽至本单元网格间距的30%执行。”。</w:t>
      </w:r>
    </w:p>
    <w:p w14:paraId="164DF156">
      <w:pPr>
        <w:spacing w:line="343" w:lineRule="auto"/>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修改理由：一是增设三十日期限无上位法及上级文件依据。现行烟草专卖法律法规、规章及合理布局规划相关模板文件，未针对中小学校、幼儿园新建、改扩建导致经营场所不能继续经营的场景设定30日申请期限，自行增加时限条件存在行政合法性风险。二是契合项目实施客观实际。中小学校、幼儿园新建、改扩建项目前期规划、场地移交、搬迁腾空周期不确定，持证人搬迁时间受项目进度制约，若硬性设置三十日申请期限，部分零售户会因项目客观进度导致超期，无法享受该项放宽政策，损害持证零售户合法权益。三是政策核心内容保持不变。本次修订仅删除时限限制，该情形下网格数量不限制、间距放宽的优待规则完整保留，不改变政策适用条件，兼顾未成年人保护要求与零售户经营权益，便于基层统一规范执行。</w:t>
      </w:r>
    </w:p>
    <w:p w14:paraId="121A3731">
      <w:pPr>
        <w:spacing w:line="343"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lang w:eastAsia="zh-CN"/>
        </w:rPr>
        <w:t>《规划（听证稿）》</w:t>
      </w:r>
      <w:r>
        <w:rPr>
          <w:rFonts w:hint="eastAsia" w:ascii="仿宋_GB2312" w:hAnsi="仿宋_GB2312" w:eastAsia="仿宋_GB2312" w:cs="仿宋_GB2312"/>
          <w:color w:val="000000"/>
          <w:sz w:val="32"/>
          <w:szCs w:val="32"/>
        </w:rPr>
        <w:t>新增第二十条：在原发证机关辖区范围内连续经营5年以上，且最近连续3年无涉烟违法违规记录的持证户，因租赁期满、租金上涨等客观原因不能在原核定地址经营，经营主体未发生改变，在办理许可证歇业后6个月内，持证人申请在原单元网格新址上新办零售许可证的，不受所在单元网格规划数限制，零售点间距可放宽至本单元网格间距标准的30%执行。</w:t>
      </w:r>
    </w:p>
    <w:p w14:paraId="577EA5F7">
      <w:pPr>
        <w:spacing w:line="343" w:lineRule="auto"/>
        <w:ind w:firstLine="640" w:firstLineChars="200"/>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设置理由：对于在原发证机关辖区内连续经营5年以上，且近3年无涉烟违法违规记录的持证户，该类经营主体长期守法诚信经营，市场经营基础扎实，是卷烟零售市场的重要稳定力量。针对该部分持证户因租赁期满、租金上涨等非主观客观原因，无法在原核定地址继续经营，且经营主体保持不变的实际情形，如其在办理歇业手续后6个月内申请新址办理零售许可证，予以适度政策倾斜，即不受所在单元网格规划数量限制，零售点间距标准放宽至网格标准的 30%。本条款在恪守合理布局基本原则的基础上，突出对守法经营主体的正向激励，切实保护长期合规持证户的经营权益，减少因客观搬迁造成的经营中断，稳固本地卷烟零售市场主体队伍，维护卷烟零售市场平稳有序运行。</w:t>
      </w:r>
    </w:p>
    <w:p w14:paraId="549C6DE4">
      <w:pPr>
        <w:spacing w:line="343"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8.</w:t>
      </w:r>
      <w:r>
        <w:rPr>
          <w:rFonts w:hint="eastAsia" w:ascii="仿宋_GB2312" w:hAnsi="仿宋_GB2312" w:eastAsia="仿宋_GB2312" w:cs="仿宋_GB2312"/>
          <w:color w:val="000000"/>
          <w:sz w:val="32"/>
          <w:szCs w:val="32"/>
          <w:lang w:eastAsia="zh-CN"/>
        </w:rPr>
        <w:t>《规划（听证稿）》</w:t>
      </w:r>
      <w:r>
        <w:rPr>
          <w:rFonts w:hint="eastAsia" w:ascii="仿宋_GB2312" w:hAnsi="仿宋_GB2312" w:eastAsia="仿宋_GB2312" w:cs="仿宋_GB2312"/>
          <w:color w:val="000000"/>
          <w:sz w:val="32"/>
          <w:szCs w:val="32"/>
        </w:rPr>
        <w:t>将附件2《云南省华宁县烟草制品雪茄烟专营外零售点合理布局公示表》其他条件描述中的</w:t>
      </w:r>
      <w:r>
        <w:rPr>
          <w:rFonts w:hint="eastAsia" w:ascii="仿宋_GB2312" w:hAnsi="仿宋_GB2312" w:eastAsia="仿宋_GB2312" w:cs="仿宋_GB2312"/>
          <w:color w:val="000000"/>
          <w:sz w:val="32"/>
          <w:szCs w:val="32"/>
          <w:lang w:val="en-US" w:eastAsia="zh-CN"/>
        </w:rPr>
        <w:t>第1、3款内容删除，保留第2款内容，并将</w:t>
      </w:r>
      <w:r>
        <w:rPr>
          <w:rFonts w:hint="eastAsia" w:ascii="仿宋_GB2312" w:hAnsi="仿宋_GB2312" w:eastAsia="仿宋_GB2312" w:cs="仿宋_GB2312"/>
          <w:color w:val="000000"/>
          <w:sz w:val="32"/>
          <w:szCs w:val="32"/>
        </w:rPr>
        <w:t>第4款、第5款内容</w:t>
      </w:r>
      <w:r>
        <w:rPr>
          <w:rFonts w:hint="eastAsia" w:ascii="仿宋_GB2312" w:hAnsi="仿宋_GB2312" w:eastAsia="仿宋_GB2312" w:cs="仿宋_GB2312"/>
          <w:color w:val="000000"/>
          <w:sz w:val="32"/>
          <w:szCs w:val="32"/>
          <w:lang w:val="en-US" w:eastAsia="zh-CN"/>
        </w:rPr>
        <w:t>调整为</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农村行政村按本村常住人口布局设置零售点。原则上200人以上可设置1个零售点；400人以上可设置2个零售点，以此类推。常住人口以公安局提供的上一年度数据为准。国道、省道、乡镇公路两侧除城区、集镇段外，按所在农村行政村的人口设置零售点。将“常住人口以乡镇（街道）派出所上一年度提供的数据为准”表述修改为“常住人口以公安局提供的上一年度数据为准”。</w:t>
      </w:r>
    </w:p>
    <w:p w14:paraId="7F57A32B">
      <w:pPr>
        <w:spacing w:line="343"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修订理由：一是理顺规划体例架构</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本次修订将附件2中其他条件描述的第2、第4、第5款相关内容</w:t>
      </w:r>
      <w:r>
        <w:rPr>
          <w:rFonts w:hint="eastAsia" w:ascii="仿宋_GB2312" w:hAnsi="仿宋_GB2312" w:eastAsia="仿宋_GB2312" w:cs="仿宋_GB2312"/>
          <w:color w:val="000000"/>
          <w:sz w:val="32"/>
          <w:szCs w:val="32"/>
          <w:lang w:val="en-US" w:eastAsia="zh-CN"/>
        </w:rPr>
        <w:t>调整优化为</w:t>
      </w:r>
      <w:r>
        <w:rPr>
          <w:rFonts w:hint="eastAsia" w:ascii="仿宋_GB2312" w:hAnsi="仿宋_GB2312" w:eastAsia="仿宋_GB2312" w:cs="仿宋_GB2312"/>
          <w:color w:val="000000"/>
          <w:sz w:val="32"/>
          <w:szCs w:val="32"/>
        </w:rPr>
        <w:t>附件2</w:t>
      </w:r>
      <w:r>
        <w:rPr>
          <w:rFonts w:hint="eastAsia" w:ascii="仿宋_GB2312" w:hAnsi="仿宋_GB2312" w:eastAsia="仿宋_GB2312" w:cs="仿宋_GB2312"/>
          <w:color w:val="000000"/>
          <w:sz w:val="32"/>
          <w:szCs w:val="32"/>
          <w:lang w:val="en-US" w:eastAsia="zh-CN"/>
        </w:rPr>
        <w:t>中的第1、第2款</w:t>
      </w:r>
      <w:r>
        <w:rPr>
          <w:rFonts w:hint="eastAsia" w:ascii="仿宋_GB2312" w:hAnsi="仿宋_GB2312" w:eastAsia="仿宋_GB2312" w:cs="仿宋_GB2312"/>
          <w:color w:val="000000"/>
          <w:sz w:val="32"/>
          <w:szCs w:val="32"/>
        </w:rPr>
        <w:t>，删除附件内冗余表述</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二是规范人口数据来源口径。将农村布局测算人口数据出具主体由乡镇（街道）派出所调整为县级公安部门上年度官方统计数据，统一数据来源，解决基层数据来源多头、标准不一的现实问题，保障农村零售点布局测算依据权威客观，提升农村点位布局的公平性与科学性，落实科学有序布局的工作原则。三是清理附件两项冗余条款。删除“县政府所在地中心区域单元网格零售点间距不低于 60 米；其他单元网格零售点间距不低于 40 米”，该内容与规划</w:t>
      </w:r>
      <w:r>
        <w:rPr>
          <w:rFonts w:hint="eastAsia" w:ascii="仿宋_GB2312" w:hAnsi="仿宋_GB2312" w:eastAsia="仿宋_GB2312" w:cs="仿宋_GB2312"/>
          <w:color w:val="000000"/>
          <w:sz w:val="32"/>
          <w:szCs w:val="32"/>
          <w:lang w:val="en-US" w:eastAsia="zh-CN"/>
        </w:rPr>
        <w:t>中的</w:t>
      </w:r>
      <w:r>
        <w:rPr>
          <w:rFonts w:hint="eastAsia" w:ascii="仿宋_GB2312" w:hAnsi="仿宋_GB2312" w:eastAsia="仿宋_GB2312" w:cs="仿宋_GB2312"/>
          <w:color w:val="000000"/>
          <w:sz w:val="32"/>
          <w:szCs w:val="32"/>
        </w:rPr>
        <w:t>单元网格间距通用管控</w:t>
      </w:r>
      <w:r>
        <w:rPr>
          <w:rFonts w:hint="eastAsia" w:ascii="仿宋_GB2312" w:hAnsi="仿宋_GB2312" w:eastAsia="仿宋_GB2312" w:cs="仿宋_GB2312"/>
          <w:color w:val="000000"/>
          <w:sz w:val="32"/>
          <w:szCs w:val="32"/>
          <w:lang w:val="en-US" w:eastAsia="zh-CN"/>
        </w:rPr>
        <w:t>内容</w:t>
      </w:r>
      <w:r>
        <w:rPr>
          <w:rFonts w:hint="eastAsia" w:ascii="仿宋_GB2312" w:hAnsi="仿宋_GB2312" w:eastAsia="仿宋_GB2312" w:cs="仿宋_GB2312"/>
          <w:color w:val="000000"/>
          <w:sz w:val="32"/>
          <w:szCs w:val="32"/>
        </w:rPr>
        <w:t>重复，为精简文本、统一管控口径予以删除；删除自贸区、步行街、产业园区、特色小镇、大型厂矿、旅游风景区相关布点条款，一方面本县不存在自贸区业态，条款无适用场景；另一方面步行街、产业园区、旅游景区、大型厂矿等特殊场景，已经通过本次新增的大型商超、商用办公楼宇、等专项条款予以覆盖，原有配比、数量上限标准与县域市场实际适配度不足，继续保留易产生执行冲突。清理后消除规则交叉矛盾，提升规划可执行性。</w:t>
      </w:r>
    </w:p>
    <w:p w14:paraId="43B422E7">
      <w:pPr>
        <w:spacing w:line="343"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.华宁县总量规划数由1100个调整为1140个，明确华宁县总量规划数为以上年度末零售户1125户为基数，增加1.3%，规划总量为1140户。</w:t>
      </w:r>
    </w:p>
    <w:p w14:paraId="379D647B">
      <w:pPr>
        <w:spacing w:line="343"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修订理由：华宁县烟草零售点总量规划数调整，综合考量辖区经济社会发展状况、人口变动趋势、卷烟消费市场需求及上年度末零售户实有数量（1125户）等多重因素，经科学测算确定。以1125户为基数按1.3%增幅调整至1140户，在预留市场适度增长空间的同时，有效防控零售点数量过快扩张风险。烟草零售点合理布局规划实施定期评价、动态管理机制，本次总量调整是顺应市场发展变化开展的常态化动态管理工作。适度释放零售点准入额度，既能够适配群众日常消费需要，为新增合规市场经营主体预留发展空间，推动零售户总量与卷烟消费需求相匹配，也有利于优化烟草市场资源配置，实现零售市场总量适度、供需总体平衡。</w:t>
      </w:r>
    </w:p>
    <w:p w14:paraId="72F6E2F2">
      <w:pPr>
        <w:spacing w:line="343" w:lineRule="auto"/>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10.因</w:t>
      </w:r>
      <w:r>
        <w:rPr>
          <w:rFonts w:hint="eastAsia" w:ascii="仿宋_GB2312" w:hAnsi="仿宋_GB2312" w:eastAsia="仿宋_GB2312" w:cs="仿宋_GB2312"/>
          <w:color w:val="000000"/>
          <w:sz w:val="32"/>
          <w:szCs w:val="32"/>
          <w:lang w:eastAsia="zh-CN"/>
        </w:rPr>
        <w:t>《规划（听证稿）》</w:t>
      </w:r>
      <w:r>
        <w:rPr>
          <w:rFonts w:hint="eastAsia" w:ascii="仿宋_GB2312" w:hAnsi="仿宋_GB2312" w:eastAsia="仿宋_GB2312" w:cs="仿宋_GB2312"/>
          <w:color w:val="000000"/>
          <w:sz w:val="32"/>
          <w:szCs w:val="32"/>
        </w:rPr>
        <w:t>新增条款，原《规划》中涉及的条款顺序及序号相应顺延调整。</w:t>
      </w:r>
    </w:p>
    <w:p w14:paraId="74B9FCCD">
      <w:pPr>
        <w:spacing w:line="343" w:lineRule="auto"/>
        <w:ind w:firstLine="640" w:firstLineChars="200"/>
        <w:rPr>
          <w:rFonts w:ascii="楷体" w:hAnsi="楷体" w:eastAsia="楷体" w:cs="仿宋_GB2312"/>
          <w:color w:val="000000"/>
          <w:sz w:val="32"/>
          <w:szCs w:val="32"/>
        </w:rPr>
      </w:pPr>
      <w:r>
        <w:rPr>
          <w:rFonts w:hint="eastAsia" w:ascii="楷体" w:hAnsi="楷体" w:eastAsia="楷体" w:cs="仿宋_GB2312"/>
          <w:color w:val="000000"/>
          <w:sz w:val="32"/>
          <w:szCs w:val="32"/>
        </w:rPr>
        <w:t>（三）附则说明</w:t>
      </w:r>
    </w:p>
    <w:p w14:paraId="4C0F1200">
      <w:pPr>
        <w:spacing w:line="343" w:lineRule="auto"/>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本《规划</w:t>
      </w:r>
      <w:r>
        <w:rPr>
          <w:rFonts w:hint="eastAsia" w:ascii="仿宋_GB2312" w:hAnsi="仿宋_GB2312" w:eastAsia="仿宋_GB2312" w:cs="仿宋_GB2312"/>
          <w:color w:val="000000"/>
          <w:sz w:val="32"/>
          <w:szCs w:val="32"/>
          <w:lang w:eastAsia="zh-CN"/>
        </w:rPr>
        <w:t>（听证稿）</w:t>
      </w:r>
      <w:r>
        <w:rPr>
          <w:rFonts w:hint="eastAsia" w:ascii="仿宋_GB2312" w:hAnsi="仿宋_GB2312" w:eastAsia="仿宋_GB2312" w:cs="仿宋_GB2312"/>
          <w:color w:val="000000"/>
          <w:sz w:val="32"/>
          <w:szCs w:val="32"/>
        </w:rPr>
        <w:t>》拟定于202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年修订完成。在后续实施过程中，如发现存在与华宁县实际情况不相适应之处，我局将根据实际需要，依法依规适时予以修订完善。</w:t>
      </w:r>
    </w:p>
    <w:p w14:paraId="55F7FFB4">
      <w:pPr>
        <w:tabs>
          <w:tab w:val="left" w:pos="1422"/>
        </w:tabs>
        <w:spacing w:line="336" w:lineRule="auto"/>
        <w:ind w:firstLine="640" w:firstLineChars="200"/>
        <w:rPr>
          <w:rFonts w:ascii="黑体" w:hAnsi="黑体" w:eastAsia="黑体" w:cs="Times New Roman"/>
          <w:color w:val="000000"/>
          <w:sz w:val="32"/>
          <w:szCs w:val="32"/>
        </w:rPr>
      </w:pPr>
      <w:r>
        <w:rPr>
          <w:rFonts w:ascii="黑体" w:hAnsi="黑体" w:eastAsia="黑体" w:cs="Times New Roman"/>
          <w:color w:val="000000"/>
          <w:sz w:val="32"/>
          <w:szCs w:val="32"/>
        </w:rPr>
        <w:t>四、《规划》修订程序说明</w:t>
      </w:r>
    </w:p>
    <w:p w14:paraId="284A6A50">
      <w:pPr>
        <w:tabs>
          <w:tab w:val="left" w:pos="1422"/>
        </w:tabs>
        <w:spacing w:line="336" w:lineRule="auto"/>
        <w:ind w:firstLine="640" w:firstLineChars="200"/>
        <w:rPr>
          <w:rFonts w:ascii="仿宋_GB2312" w:hAnsi="Times New Roman" w:eastAsia="仿宋_GB2312" w:cs="Times New Roman"/>
          <w:color w:val="000000"/>
          <w:sz w:val="32"/>
          <w:szCs w:val="32"/>
        </w:rPr>
      </w:pPr>
      <w:r>
        <w:rPr>
          <w:rFonts w:ascii="仿宋_GB2312" w:hAnsi="Times New Roman" w:eastAsia="仿宋_GB2312" w:cs="Times New Roman"/>
          <w:color w:val="000000"/>
          <w:sz w:val="32"/>
          <w:szCs w:val="32"/>
        </w:rPr>
        <w:t>根据《云南省行政规范性文件</w:t>
      </w:r>
      <w:r>
        <w:rPr>
          <w:rFonts w:hint="eastAsia" w:ascii="仿宋_GB2312" w:hAnsi="Times New Roman" w:eastAsia="仿宋_GB2312" w:cs="Times New Roman"/>
          <w:color w:val="000000"/>
          <w:sz w:val="32"/>
          <w:szCs w:val="32"/>
        </w:rPr>
        <w:t>管理</w:t>
      </w:r>
      <w:r>
        <w:rPr>
          <w:rFonts w:ascii="仿宋_GB2312" w:hAnsi="Times New Roman" w:eastAsia="仿宋_GB2312" w:cs="Times New Roman"/>
          <w:color w:val="000000"/>
          <w:sz w:val="32"/>
          <w:szCs w:val="32"/>
        </w:rPr>
        <w:t>办法》《云南省行政规范性文件制定技术规范》《玉溪市重大决策听证制度实施细则（试行）》关于行政规范性文件修订程序要求，</w:t>
      </w:r>
      <w:r>
        <w:rPr>
          <w:rFonts w:hint="eastAsia" w:ascii="仿宋_GB2312" w:hAnsi="Times New Roman" w:eastAsia="仿宋_GB2312" w:cs="Times New Roman"/>
          <w:color w:val="000000"/>
          <w:sz w:val="32"/>
          <w:szCs w:val="32"/>
          <w:lang w:eastAsia="zh-CN"/>
        </w:rPr>
        <w:t>《</w:t>
      </w:r>
      <w:r>
        <w:rPr>
          <w:rFonts w:hint="eastAsia" w:ascii="仿宋_GB2312" w:hAnsi="Times New Roman" w:eastAsia="仿宋_GB2312" w:cs="Times New Roman"/>
          <w:color w:val="000000"/>
          <w:sz w:val="32"/>
          <w:szCs w:val="32"/>
          <w:lang w:val="en-US" w:eastAsia="zh-CN"/>
        </w:rPr>
        <w:t>规划</w:t>
      </w:r>
      <w:r>
        <w:rPr>
          <w:rFonts w:hint="eastAsia" w:ascii="仿宋_GB2312" w:hAnsi="Times New Roman" w:eastAsia="仿宋_GB2312" w:cs="Times New Roman"/>
          <w:color w:val="000000"/>
          <w:sz w:val="32"/>
          <w:szCs w:val="32"/>
          <w:lang w:eastAsia="zh-CN"/>
        </w:rPr>
        <w:t>》（</w:t>
      </w:r>
      <w:r>
        <w:rPr>
          <w:rFonts w:hint="eastAsia" w:ascii="仿宋_GB2312" w:hAnsi="Times New Roman" w:eastAsia="仿宋_GB2312" w:cs="Times New Roman"/>
          <w:color w:val="000000"/>
          <w:sz w:val="32"/>
          <w:szCs w:val="32"/>
          <w:lang w:val="en-US" w:eastAsia="zh-CN"/>
        </w:rPr>
        <w:t>听证稿</w:t>
      </w:r>
      <w:r>
        <w:rPr>
          <w:rFonts w:hint="eastAsia" w:ascii="仿宋_GB2312" w:hAnsi="Times New Roman" w:eastAsia="仿宋_GB2312" w:cs="Times New Roman"/>
          <w:color w:val="000000"/>
          <w:sz w:val="32"/>
          <w:szCs w:val="32"/>
          <w:lang w:eastAsia="zh-CN"/>
        </w:rPr>
        <w:t>）</w:t>
      </w:r>
      <w:r>
        <w:rPr>
          <w:rFonts w:hint="eastAsia" w:ascii="仿宋_GB2312" w:hAnsi="Times New Roman" w:eastAsia="仿宋_GB2312" w:cs="Times New Roman"/>
          <w:color w:val="000000"/>
          <w:sz w:val="32"/>
          <w:szCs w:val="32"/>
          <w:lang w:val="en-US" w:eastAsia="zh-CN"/>
        </w:rPr>
        <w:t>由县法规部门进行初步合法性审查后经</w:t>
      </w:r>
      <w:r>
        <w:rPr>
          <w:rFonts w:hint="eastAsia" w:ascii="仿宋_GB2312" w:hAnsi="Times New Roman" w:eastAsia="仿宋_GB2312" w:cs="Times New Roman"/>
          <w:color w:val="000000"/>
          <w:sz w:val="32"/>
          <w:szCs w:val="32"/>
        </w:rPr>
        <w:t>县局局长办公会</w:t>
      </w:r>
      <w:r>
        <w:rPr>
          <w:rFonts w:ascii="仿宋_GB2312" w:hAnsi="Times New Roman" w:eastAsia="仿宋_GB2312" w:cs="Times New Roman"/>
          <w:color w:val="000000"/>
          <w:sz w:val="32"/>
          <w:szCs w:val="32"/>
        </w:rPr>
        <w:t>集体审议通过后形成</w:t>
      </w:r>
      <w:r>
        <w:rPr>
          <w:rFonts w:hint="eastAsia" w:ascii="仿宋_GB2312" w:hAnsi="Times New Roman" w:eastAsia="仿宋_GB2312" w:cs="Times New Roman"/>
          <w:color w:val="000000"/>
          <w:sz w:val="32"/>
          <w:szCs w:val="32"/>
          <w:lang w:val="en-US" w:eastAsia="zh-CN"/>
        </w:rPr>
        <w:t>正式听证稿</w:t>
      </w:r>
      <w:r>
        <w:rPr>
          <w:rFonts w:ascii="仿宋_GB2312" w:hAnsi="Times New Roman" w:eastAsia="仿宋_GB2312" w:cs="Times New Roman"/>
          <w:color w:val="000000"/>
          <w:sz w:val="32"/>
          <w:szCs w:val="32"/>
        </w:rPr>
        <w:t>，报市局专卖</w:t>
      </w:r>
      <w:r>
        <w:rPr>
          <w:rFonts w:hint="eastAsia" w:ascii="仿宋_GB2312" w:hAnsi="Times New Roman" w:eastAsia="仿宋_GB2312" w:cs="Times New Roman"/>
          <w:color w:val="000000"/>
          <w:sz w:val="32"/>
          <w:szCs w:val="32"/>
          <w:lang w:eastAsia="zh-CN"/>
        </w:rPr>
        <w:t>、</w:t>
      </w:r>
      <w:r>
        <w:rPr>
          <w:rFonts w:hint="eastAsia" w:ascii="仿宋_GB2312" w:hAnsi="Times New Roman" w:eastAsia="仿宋_GB2312" w:cs="Times New Roman"/>
          <w:color w:val="000000"/>
          <w:sz w:val="32"/>
          <w:szCs w:val="32"/>
          <w:lang w:val="en-US" w:eastAsia="zh-CN"/>
        </w:rPr>
        <w:t>法规</w:t>
      </w:r>
      <w:r>
        <w:rPr>
          <w:rFonts w:ascii="仿宋_GB2312" w:hAnsi="Times New Roman" w:eastAsia="仿宋_GB2312" w:cs="Times New Roman"/>
          <w:color w:val="000000"/>
          <w:sz w:val="32"/>
          <w:szCs w:val="32"/>
        </w:rPr>
        <w:t>部门初审，形成听证稿。县局按法定程序召开听证会，广泛听取意见并修改完善，</w:t>
      </w:r>
      <w:r>
        <w:rPr>
          <w:rFonts w:hint="eastAsia" w:ascii="仿宋_GB2312" w:hAnsi="Times New Roman" w:eastAsia="仿宋_GB2312" w:cs="Times New Roman"/>
          <w:color w:val="000000"/>
          <w:sz w:val="32"/>
          <w:szCs w:val="32"/>
          <w:lang w:eastAsia="zh-CN"/>
        </w:rPr>
        <w:t>形成听证报告，</w:t>
      </w:r>
      <w:r>
        <w:rPr>
          <w:rFonts w:ascii="仿宋_GB2312" w:hAnsi="Times New Roman" w:eastAsia="仿宋_GB2312" w:cs="Times New Roman"/>
          <w:color w:val="000000"/>
          <w:sz w:val="32"/>
          <w:szCs w:val="32"/>
        </w:rPr>
        <w:t>报华宁县政府法制部门、市局法规部门进行合法性审核</w:t>
      </w:r>
      <w:r>
        <w:rPr>
          <w:rFonts w:hint="eastAsia" w:ascii="仿宋_GB2312" w:hAnsi="Times New Roman" w:eastAsia="仿宋_GB2312" w:cs="Times New Roman"/>
          <w:color w:val="000000"/>
          <w:sz w:val="32"/>
          <w:szCs w:val="32"/>
          <w:lang w:eastAsia="zh-CN"/>
        </w:rPr>
        <w:t>，后</w:t>
      </w:r>
      <w:r>
        <w:rPr>
          <w:rFonts w:ascii="仿宋_GB2312" w:hAnsi="Times New Roman" w:eastAsia="仿宋_GB2312" w:cs="Times New Roman"/>
          <w:color w:val="000000"/>
          <w:sz w:val="32"/>
          <w:szCs w:val="32"/>
        </w:rPr>
        <w:t>经县局局长办公会审议通过后印发正式文件，正式文件须通过当地公开媒体、政务外网和市局对外网站进行公布，</w:t>
      </w:r>
      <w:r>
        <w:rPr>
          <w:rFonts w:hint="eastAsia" w:ascii="仿宋_GB2312" w:hAnsi="Times New Roman" w:eastAsia="仿宋_GB2312" w:cs="Times New Roman"/>
          <w:color w:val="000000"/>
          <w:sz w:val="32"/>
          <w:szCs w:val="32"/>
        </w:rPr>
        <w:t>公布时间以首次向社会公布的日期为准</w:t>
      </w:r>
      <w:r>
        <w:rPr>
          <w:rFonts w:ascii="仿宋_GB2312" w:hAnsi="Times New Roman" w:eastAsia="仿宋_GB2312" w:cs="Times New Roman"/>
          <w:color w:val="000000"/>
          <w:sz w:val="32"/>
          <w:szCs w:val="32"/>
        </w:rPr>
        <w:t>。公布之日起</w:t>
      </w:r>
      <w:r>
        <w:rPr>
          <w:rFonts w:hint="eastAsia" w:ascii="仿宋_GB2312" w:hAnsi="Times New Roman" w:eastAsia="仿宋_GB2312" w:cs="Times New Roman"/>
          <w:color w:val="000000"/>
          <w:sz w:val="32"/>
          <w:szCs w:val="32"/>
        </w:rPr>
        <w:t>1</w:t>
      </w:r>
      <w:r>
        <w:rPr>
          <w:rFonts w:ascii="仿宋_GB2312" w:hAnsi="Times New Roman" w:eastAsia="仿宋_GB2312" w:cs="Times New Roman"/>
          <w:color w:val="000000"/>
          <w:sz w:val="32"/>
          <w:szCs w:val="32"/>
        </w:rPr>
        <w:t>5日内，将规范性文件正式文本、备案说明和</w:t>
      </w:r>
      <w:r>
        <w:rPr>
          <w:rFonts w:hint="eastAsia" w:ascii="仿宋_GB2312" w:hAnsi="Times New Roman" w:eastAsia="仿宋_GB2312" w:cs="Times New Roman"/>
          <w:color w:val="000000"/>
          <w:sz w:val="32"/>
          <w:szCs w:val="32"/>
        </w:rPr>
        <w:t>备案</w:t>
      </w:r>
      <w:r>
        <w:rPr>
          <w:rFonts w:ascii="仿宋_GB2312" w:hAnsi="Times New Roman" w:eastAsia="仿宋_GB2312" w:cs="Times New Roman"/>
          <w:color w:val="000000"/>
          <w:sz w:val="32"/>
          <w:szCs w:val="32"/>
        </w:rPr>
        <w:t>报告呈报华宁县政府法制部门备案，由其出具备案审查意见。备案审查通过后，将相关资料归档，报市局法规部门和专卖部门备案。</w:t>
      </w:r>
      <w:r>
        <w:rPr>
          <w:rFonts w:hint="eastAsia" w:ascii="仿宋_GB2312" w:hAnsi="Times New Roman" w:eastAsia="仿宋_GB2312" w:cs="Times New Roman"/>
          <w:color w:val="000000"/>
          <w:sz w:val="32"/>
          <w:szCs w:val="32"/>
        </w:rPr>
        <w:t xml:space="preserve">  </w:t>
      </w:r>
    </w:p>
    <w:p w14:paraId="60BEB5AB">
      <w:pPr>
        <w:tabs>
          <w:tab w:val="left" w:pos="1422"/>
        </w:tabs>
        <w:spacing w:line="336" w:lineRule="auto"/>
        <w:ind w:firstLine="640" w:firstLineChars="200"/>
        <w:rPr>
          <w:rFonts w:ascii="黑体" w:hAnsi="黑体" w:eastAsia="黑体" w:cs="Times New Roman"/>
          <w:color w:val="000000"/>
          <w:sz w:val="32"/>
          <w:szCs w:val="32"/>
        </w:rPr>
      </w:pPr>
      <w:r>
        <w:rPr>
          <w:rFonts w:hint="eastAsia" w:ascii="黑体" w:hAnsi="黑体" w:eastAsia="黑体" w:cs="Times New Roman"/>
          <w:color w:val="000000"/>
          <w:sz w:val="32"/>
          <w:szCs w:val="32"/>
          <w:lang w:eastAsia="zh-CN"/>
        </w:rPr>
        <w:t>五</w:t>
      </w:r>
      <w:r>
        <w:rPr>
          <w:rFonts w:ascii="黑体" w:hAnsi="黑体" w:eastAsia="黑体" w:cs="Times New Roman"/>
          <w:color w:val="000000"/>
          <w:sz w:val="32"/>
          <w:szCs w:val="32"/>
        </w:rPr>
        <w:t>、文件实施日期说明</w:t>
      </w:r>
    </w:p>
    <w:p w14:paraId="666536F7">
      <w:pPr>
        <w:spacing w:line="343" w:lineRule="auto"/>
        <w:ind w:firstLine="640" w:firstLineChars="200"/>
        <w:rPr>
          <w:rFonts w:ascii="仿宋_GB2312" w:hAnsi="仿宋_GB2312" w:eastAsia="仿宋_GB2312" w:cs="仿宋_GB2312"/>
          <w:color w:val="000000"/>
          <w:sz w:val="32"/>
          <w:szCs w:val="32"/>
        </w:rPr>
      </w:pPr>
      <w:r>
        <w:rPr>
          <w:rFonts w:ascii="仿宋_GB2312" w:hAnsi="Times New Roman" w:eastAsia="仿宋_GB2312" w:cs="Times New Roman"/>
          <w:color w:val="000000"/>
          <w:sz w:val="32"/>
          <w:szCs w:val="32"/>
        </w:rPr>
        <w:t>根据《云南省行政规范性文件</w:t>
      </w:r>
      <w:r>
        <w:rPr>
          <w:rFonts w:hint="eastAsia" w:ascii="仿宋_GB2312" w:hAnsi="Times New Roman" w:eastAsia="仿宋_GB2312" w:cs="Times New Roman"/>
          <w:color w:val="000000"/>
          <w:sz w:val="32"/>
          <w:szCs w:val="32"/>
        </w:rPr>
        <w:t>管理</w:t>
      </w:r>
      <w:r>
        <w:rPr>
          <w:rFonts w:ascii="仿宋_GB2312" w:hAnsi="Times New Roman" w:eastAsia="仿宋_GB2312" w:cs="Times New Roman"/>
          <w:color w:val="000000"/>
          <w:sz w:val="32"/>
          <w:szCs w:val="32"/>
        </w:rPr>
        <w:t>办法》第二十</w:t>
      </w:r>
      <w:r>
        <w:rPr>
          <w:rFonts w:hint="eastAsia" w:ascii="仿宋_GB2312" w:hAnsi="Times New Roman" w:eastAsia="仿宋_GB2312" w:cs="Times New Roman"/>
          <w:color w:val="000000"/>
          <w:sz w:val="32"/>
          <w:szCs w:val="32"/>
        </w:rPr>
        <w:t>七</w:t>
      </w:r>
      <w:r>
        <w:rPr>
          <w:rFonts w:ascii="仿宋_GB2312" w:hAnsi="Times New Roman" w:eastAsia="仿宋_GB2312" w:cs="Times New Roman"/>
          <w:color w:val="000000"/>
          <w:sz w:val="32"/>
          <w:szCs w:val="32"/>
        </w:rPr>
        <w:t>条：“</w:t>
      </w:r>
      <w:r>
        <w:rPr>
          <w:rFonts w:hint="eastAsia" w:ascii="仿宋_GB2312" w:hAnsi="Times New Roman" w:eastAsia="仿宋_GB2312" w:cs="Times New Roman"/>
          <w:color w:val="000000"/>
          <w:sz w:val="32"/>
          <w:szCs w:val="32"/>
        </w:rPr>
        <w:t>行政规范性文件应当标明施行日期，施行日期与公布日期的间隔不少于30日。因预防、应对和处置突发事件，或者执行上级机关的紧急命令和决定，需要立即实施行政规范性文件的，可以自公布之日起立即施行。</w:t>
      </w:r>
      <w:r>
        <w:rPr>
          <w:rFonts w:ascii="仿宋_GB2312" w:hAnsi="Times New Roman" w:eastAsia="仿宋_GB2312" w:cs="Times New Roman"/>
          <w:color w:val="000000"/>
          <w:sz w:val="32"/>
          <w:szCs w:val="32"/>
        </w:rPr>
        <w:t>”</w:t>
      </w:r>
      <w:r>
        <w:rPr>
          <w:rFonts w:hint="eastAsia" w:ascii="仿宋_GB2312" w:hAnsi="Times New Roman" w:eastAsia="仿宋_GB2312" w:cs="Times New Roman"/>
          <w:color w:val="000000"/>
          <w:sz w:val="32"/>
          <w:szCs w:val="32"/>
        </w:rPr>
        <w:t>本次修订不涉及突发事件、执行上级机关紧急命令和决定等情形，因此</w:t>
      </w:r>
      <w:r>
        <w:rPr>
          <w:rFonts w:ascii="仿宋_GB2312" w:hAnsi="Times New Roman" w:eastAsia="仿宋_GB2312" w:cs="Times New Roman"/>
          <w:color w:val="000000"/>
          <w:sz w:val="32"/>
          <w:szCs w:val="32"/>
        </w:rPr>
        <w:t>新的合理布局规</w:t>
      </w:r>
      <w:r>
        <w:rPr>
          <w:rFonts w:hint="eastAsia" w:ascii="仿宋_GB2312" w:hAnsi="Times New Roman" w:eastAsia="仿宋_GB2312" w:cs="Times New Roman"/>
          <w:color w:val="000000"/>
          <w:sz w:val="32"/>
          <w:szCs w:val="32"/>
        </w:rPr>
        <w:t>划</w:t>
      </w:r>
      <w:r>
        <w:rPr>
          <w:rFonts w:ascii="仿宋_GB2312" w:hAnsi="Times New Roman" w:eastAsia="仿宋_GB2312" w:cs="Times New Roman"/>
          <w:color w:val="000000"/>
          <w:sz w:val="32"/>
          <w:szCs w:val="32"/>
        </w:rPr>
        <w:t>自文件公布之日起</w:t>
      </w:r>
      <w:r>
        <w:rPr>
          <w:rFonts w:hint="eastAsia" w:ascii="仿宋_GB2312" w:hAnsi="Times New Roman" w:eastAsia="仿宋_GB2312" w:cs="Times New Roman"/>
          <w:color w:val="000000"/>
          <w:sz w:val="32"/>
          <w:szCs w:val="32"/>
        </w:rPr>
        <w:t>30日后</w:t>
      </w:r>
      <w:r>
        <w:rPr>
          <w:rFonts w:ascii="仿宋_GB2312" w:hAnsi="Times New Roman" w:eastAsia="仿宋_GB2312" w:cs="Times New Roman"/>
          <w:color w:val="000000"/>
          <w:sz w:val="32"/>
          <w:szCs w:val="32"/>
        </w:rPr>
        <w:t>施行，旧的合理布局规</w:t>
      </w:r>
      <w:r>
        <w:rPr>
          <w:rFonts w:hint="eastAsia" w:ascii="仿宋_GB2312" w:hAnsi="Times New Roman" w:eastAsia="仿宋_GB2312" w:cs="Times New Roman"/>
          <w:color w:val="000000"/>
          <w:sz w:val="32"/>
          <w:szCs w:val="32"/>
        </w:rPr>
        <w:t>划</w:t>
      </w:r>
      <w:r>
        <w:rPr>
          <w:rFonts w:ascii="仿宋_GB2312" w:hAnsi="Times New Roman" w:eastAsia="仿宋_GB2312" w:cs="Times New Roman"/>
          <w:color w:val="000000"/>
          <w:sz w:val="32"/>
          <w:szCs w:val="32"/>
        </w:rPr>
        <w:t>同时失效。</w:t>
      </w:r>
    </w:p>
    <w:p w14:paraId="1C32B0CE">
      <w:pPr>
        <w:spacing w:line="343" w:lineRule="auto"/>
        <w:ind w:firstLine="640" w:firstLineChars="200"/>
        <w:rPr>
          <w:rFonts w:ascii="仿宋_GB2312" w:hAnsi="仿宋_GB2312" w:eastAsia="仿宋_GB2312" w:cs="仿宋_GB2312"/>
          <w:color w:val="000000"/>
          <w:sz w:val="32"/>
          <w:szCs w:val="32"/>
        </w:rPr>
      </w:pPr>
    </w:p>
    <w:p w14:paraId="4BFB8890">
      <w:pPr>
        <w:spacing w:line="343" w:lineRule="auto"/>
        <w:ind w:firstLine="640" w:firstLineChars="200"/>
        <w:rPr>
          <w:rFonts w:ascii="仿宋_GB2312" w:hAnsi="仿宋_GB2312" w:eastAsia="仿宋_GB2312" w:cs="仿宋_GB2312"/>
          <w:color w:val="000000"/>
          <w:sz w:val="32"/>
          <w:szCs w:val="32"/>
        </w:rPr>
      </w:pPr>
    </w:p>
    <w:p w14:paraId="066DCCAC">
      <w:pPr>
        <w:spacing w:line="343" w:lineRule="auto"/>
        <w:ind w:firstLine="640" w:firstLineChars="200"/>
        <w:rPr>
          <w:rFonts w:ascii="仿宋_GB2312" w:hAnsi="仿宋_GB2312" w:eastAsia="仿宋_GB2312" w:cs="仿宋_GB2312"/>
          <w:color w:val="000000"/>
          <w:sz w:val="32"/>
          <w:szCs w:val="32"/>
        </w:rPr>
      </w:pPr>
    </w:p>
    <w:p w14:paraId="0F465BC2">
      <w:pPr>
        <w:spacing w:line="343" w:lineRule="auto"/>
        <w:ind w:firstLine="640" w:firstLineChars="200"/>
        <w:jc w:val="righ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云南省华宁县烟草专卖局</w:t>
      </w:r>
    </w:p>
    <w:p w14:paraId="1D1FB9D7">
      <w:pPr>
        <w:spacing w:line="343" w:lineRule="auto"/>
        <w:ind w:right="320" w:firstLine="640" w:firstLineChars="200"/>
        <w:jc w:val="righ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年0</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15</w:t>
      </w:r>
      <w:r>
        <w:rPr>
          <w:rFonts w:hint="eastAsia" w:ascii="仿宋_GB2312" w:hAnsi="仿宋_GB2312" w:eastAsia="仿宋_GB2312" w:cs="仿宋_GB2312"/>
          <w:color w:val="000000"/>
          <w:sz w:val="32"/>
          <w:szCs w:val="32"/>
        </w:rPr>
        <w:t>日</w:t>
      </w:r>
    </w:p>
    <w:p w14:paraId="06AACD79">
      <w:pPr>
        <w:ind w:firstLine="640" w:firstLineChars="200"/>
        <w:rPr>
          <w:rFonts w:ascii="仿宋_GB2312" w:hAnsi="仿宋_GB2312" w:eastAsia="仿宋_GB2312" w:cs="仿宋_GB2312"/>
          <w:color w:val="000000"/>
          <w:sz w:val="32"/>
          <w:szCs w:val="32"/>
        </w:rPr>
      </w:pPr>
    </w:p>
    <w:p w14:paraId="24036016">
      <w:pPr>
        <w:rPr>
          <w:rFonts w:ascii="仿宋_GB2312" w:hAnsi="仿宋_GB2312" w:eastAsia="仿宋_GB2312" w:cs="仿宋_GB2312"/>
          <w:color w:val="000000"/>
          <w:sz w:val="32"/>
          <w:szCs w:val="32"/>
        </w:rPr>
      </w:pPr>
      <w:bookmarkStart w:id="0" w:name="_GoBack"/>
      <w:bookmarkEnd w:id="0"/>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703B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B9045D">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BB9045D">
                    <w:pPr>
                      <w:pStyle w:val="2"/>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7D0D4D"/>
    <w:rsid w:val="000E3FF8"/>
    <w:rsid w:val="00266D3F"/>
    <w:rsid w:val="00284852"/>
    <w:rsid w:val="00314703"/>
    <w:rsid w:val="004056E1"/>
    <w:rsid w:val="00457128"/>
    <w:rsid w:val="00463477"/>
    <w:rsid w:val="004676D0"/>
    <w:rsid w:val="004B77A5"/>
    <w:rsid w:val="00590140"/>
    <w:rsid w:val="006878C0"/>
    <w:rsid w:val="006C7945"/>
    <w:rsid w:val="00702E47"/>
    <w:rsid w:val="007D0297"/>
    <w:rsid w:val="007E1E22"/>
    <w:rsid w:val="008E6A98"/>
    <w:rsid w:val="008F27B4"/>
    <w:rsid w:val="009051B9"/>
    <w:rsid w:val="00945483"/>
    <w:rsid w:val="009B38F6"/>
    <w:rsid w:val="00AE7081"/>
    <w:rsid w:val="00AF2218"/>
    <w:rsid w:val="00B767B0"/>
    <w:rsid w:val="00BC09E5"/>
    <w:rsid w:val="00C33475"/>
    <w:rsid w:val="00CD1886"/>
    <w:rsid w:val="00D3453B"/>
    <w:rsid w:val="00DD230D"/>
    <w:rsid w:val="00F138B4"/>
    <w:rsid w:val="00F349B3"/>
    <w:rsid w:val="00F43623"/>
    <w:rsid w:val="00FB55C3"/>
    <w:rsid w:val="00FB75CE"/>
    <w:rsid w:val="00FD548E"/>
    <w:rsid w:val="0D552B6D"/>
    <w:rsid w:val="0F4F3FF9"/>
    <w:rsid w:val="157D0D4D"/>
    <w:rsid w:val="1CC94563"/>
    <w:rsid w:val="28CE5ABA"/>
    <w:rsid w:val="33831403"/>
    <w:rsid w:val="3CE306D7"/>
    <w:rsid w:val="3CE61A4D"/>
    <w:rsid w:val="3D4D55D3"/>
    <w:rsid w:val="45AF17AD"/>
    <w:rsid w:val="45E178CB"/>
    <w:rsid w:val="46BE583F"/>
    <w:rsid w:val="54340749"/>
    <w:rsid w:val="55324BCE"/>
    <w:rsid w:val="577BF708"/>
    <w:rsid w:val="5D747195"/>
    <w:rsid w:val="5F61047F"/>
    <w:rsid w:val="649E46A0"/>
    <w:rsid w:val="66EB1F0F"/>
    <w:rsid w:val="680115FD"/>
    <w:rsid w:val="74A3313F"/>
    <w:rsid w:val="77EC3161"/>
    <w:rsid w:val="7CF70CC7"/>
    <w:rsid w:val="EBFDF255"/>
    <w:rsid w:val="FB8EAA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customStyle="1" w:styleId="8">
    <w:name w:val="页眉 Char"/>
    <w:basedOn w:val="7"/>
    <w:link w:val="3"/>
    <w:qFormat/>
    <w:uiPriority w:val="0"/>
    <w:rPr>
      <w:kern w:val="2"/>
      <w:sz w:val="18"/>
      <w:szCs w:val="18"/>
    </w:rPr>
  </w:style>
  <w:style w:type="character" w:customStyle="1" w:styleId="9">
    <w:name w:val="页脚 Char"/>
    <w:basedOn w:val="7"/>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7709</Words>
  <Characters>7811</Characters>
  <Lines>28</Lines>
  <Paragraphs>7</Paragraphs>
  <TotalTime>18</TotalTime>
  <ScaleCrop>false</ScaleCrop>
  <LinksUpToDate>false</LinksUpToDate>
  <CharactersWithSpaces>7822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2021-12-24T15:57:00Z</dcterms:created>
  <dc:creator>S</dc:creator>
  <cp:lastModifiedBy>朱芳瑞</cp:lastModifiedBy>
  <cp:lastPrinted>2025-09-14T00:57:00Z</cp:lastPrinted>
  <dcterms:modified xsi:type="dcterms:W3CDTF">2026-09-15T02:20:57Z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A6BFBD7E901B4415B40799B9033904B5_13</vt:lpwstr>
  </property>
  <property fmtid="{D5CDD505-2E9C-101B-9397-08002B2CF9AE}" pid="4" name="KSOTemplateDocerSaveRecord">
    <vt:lpwstr>eyJoZGlkIjoiMmVjZDZkNjBiZGZlOGZhMzg5ZGMzZDA5ZDNhN2EwMTMiLCJ1c2VySWQiOiIzNjgxMDI4NTkifQ==</vt:lpwstr>
  </property>
</Properties>
</file>