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73742">
      <w:pPr>
        <w:spacing w:line="285" w:lineRule="auto"/>
        <w:rPr>
          <w:rFonts w:ascii="Arial"/>
          <w:sz w:val="21"/>
        </w:rPr>
      </w:pPr>
    </w:p>
    <w:p w14:paraId="762FAE2B">
      <w:pPr>
        <w:spacing w:before="185" w:line="191" w:lineRule="auto"/>
        <w:ind w:left="3081" w:right="650" w:hanging="2528"/>
        <w:outlineLvl w:val="0"/>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pacing w:val="-1"/>
          <w:sz w:val="44"/>
          <w:szCs w:val="44"/>
        </w:rPr>
        <w:t>华宁县教育体育局2020年政府信息公开</w:t>
      </w:r>
      <w:r>
        <w:rPr>
          <w:rFonts w:hint="eastAsia" w:ascii="方正小标宋_GBK" w:hAnsi="方正小标宋_GBK" w:eastAsia="方正小标宋_GBK" w:cs="方正小标宋_GBK"/>
          <w:sz w:val="44"/>
          <w:szCs w:val="44"/>
        </w:rPr>
        <w:t xml:space="preserve"> </w:t>
      </w:r>
      <w:r>
        <w:rPr>
          <w:rFonts w:hint="eastAsia" w:ascii="方正小标宋_GBK" w:hAnsi="方正小标宋_GBK" w:eastAsia="方正小标宋_GBK" w:cs="方正小标宋_GBK"/>
          <w:spacing w:val="9"/>
          <w:sz w:val="44"/>
          <w:szCs w:val="44"/>
        </w:rPr>
        <w:t>工作年度报告</w:t>
      </w:r>
    </w:p>
    <w:p w14:paraId="1F1C8F34">
      <w:pPr>
        <w:spacing w:line="397" w:lineRule="auto"/>
        <w:rPr>
          <w:rFonts w:ascii="Arial"/>
          <w:sz w:val="21"/>
        </w:rPr>
      </w:pPr>
    </w:p>
    <w:p w14:paraId="0D45205B">
      <w:pPr>
        <w:spacing w:before="101" w:line="418" w:lineRule="exact"/>
        <w:ind w:left="8" w:firstLine="644" w:firstLineChars="200"/>
        <w:rPr>
          <w:rFonts w:ascii="黑体" w:hAnsi="黑体" w:eastAsia="黑体" w:cs="黑体"/>
          <w:sz w:val="31"/>
          <w:szCs w:val="31"/>
        </w:rPr>
      </w:pPr>
      <w:r>
        <w:rPr>
          <w:rFonts w:ascii="黑体" w:hAnsi="黑体" w:eastAsia="黑体" w:cs="黑体"/>
          <w:spacing w:val="6"/>
          <w:position w:val="1"/>
          <w:sz w:val="31"/>
          <w:szCs w:val="31"/>
        </w:rPr>
        <w:t>一、总</w:t>
      </w:r>
      <w:r>
        <w:rPr>
          <w:rFonts w:hint="eastAsia" w:ascii="方正楷体_GBK" w:hAnsi="方正楷体_GBK" w:eastAsia="方正楷体_GBK" w:cs="方正楷体_GBK"/>
          <w:spacing w:val="1"/>
          <w:sz w:val="32"/>
          <w:szCs w:val="32"/>
        </w:rPr>
        <w:t>体情况</w:t>
      </w:r>
    </w:p>
    <w:p w14:paraId="2164CAE9">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863"/>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根据《中华人民共和国政府信息公开条例》（国令第711</w:t>
      </w:r>
      <w:r>
        <w:rPr>
          <w:rFonts w:hint="default" w:ascii="Times New Roman" w:hAnsi="Times New Roman" w:eastAsia="方正仿宋_GBK" w:cs="Times New Roman"/>
          <w:spacing w:val="8"/>
          <w:sz w:val="32"/>
          <w:szCs w:val="32"/>
        </w:rPr>
        <w:t>号）和《云南省政府信息公开规定》（云政发〔2013〕153号）</w:t>
      </w:r>
      <w:r>
        <w:rPr>
          <w:rFonts w:hint="default" w:ascii="Times New Roman" w:hAnsi="Times New Roman" w:eastAsia="方正仿宋_GBK" w:cs="Times New Roman"/>
          <w:spacing w:val="4"/>
          <w:sz w:val="32"/>
          <w:szCs w:val="32"/>
        </w:rPr>
        <w:t>和《国务院办公厅关于加强和规范政府信息公开情况统计报送工作的通知》（国办发〔2014〕32号</w:t>
      </w:r>
      <w:r>
        <w:rPr>
          <w:rFonts w:hint="default" w:ascii="Times New Roman" w:hAnsi="Times New Roman" w:eastAsia="方正仿宋_GBK" w:cs="Times New Roman"/>
          <w:spacing w:val="-18"/>
          <w:sz w:val="32"/>
          <w:szCs w:val="32"/>
        </w:rPr>
        <w:t>），</w:t>
      </w:r>
      <w:r>
        <w:rPr>
          <w:rFonts w:hint="default" w:ascii="Times New Roman" w:hAnsi="Times New Roman" w:eastAsia="方正仿宋_GBK" w:cs="Times New Roman"/>
          <w:spacing w:val="4"/>
          <w:sz w:val="32"/>
          <w:szCs w:val="32"/>
        </w:rPr>
        <w:t>以及市、县关于做好信息年度报告的编制和发布工作要求，华宁县教育体育局按照实事求是的原则，从政府信息公开工作主要成效、主动公开政府信息</w:t>
      </w:r>
      <w:r>
        <w:rPr>
          <w:rFonts w:hint="default" w:ascii="Times New Roman" w:hAnsi="Times New Roman" w:eastAsia="方正仿宋_GBK" w:cs="Times New Roman"/>
          <w:sz w:val="32"/>
          <w:szCs w:val="32"/>
        </w:rPr>
        <w:t>情况等六个方面，对</w:t>
      </w:r>
      <w:r>
        <w:rPr>
          <w:rFonts w:hint="default" w:ascii="Times New Roman" w:hAnsi="Times New Roman" w:eastAsia="方正仿宋_GBK" w:cs="Times New Roman"/>
          <w:spacing w:val="-35"/>
          <w:sz w:val="32"/>
          <w:szCs w:val="32"/>
        </w:rPr>
        <w:t xml:space="preserve"> </w:t>
      </w:r>
      <w:r>
        <w:rPr>
          <w:rFonts w:hint="default" w:ascii="Times New Roman" w:hAnsi="Times New Roman" w:eastAsia="方正仿宋_GBK" w:cs="Times New Roman"/>
          <w:sz w:val="32"/>
          <w:szCs w:val="32"/>
        </w:rPr>
        <w:t>2020</w:t>
      </w:r>
      <w:r>
        <w:rPr>
          <w:rFonts w:hint="default" w:ascii="Times New Roman" w:hAnsi="Times New Roman" w:eastAsia="方正仿宋_GBK" w:cs="Times New Roman"/>
          <w:spacing w:val="-59"/>
          <w:sz w:val="32"/>
          <w:szCs w:val="32"/>
        </w:rPr>
        <w:t xml:space="preserve"> </w:t>
      </w:r>
      <w:r>
        <w:rPr>
          <w:rFonts w:hint="default" w:ascii="Times New Roman" w:hAnsi="Times New Roman" w:eastAsia="方正仿宋_GBK" w:cs="Times New Roman"/>
          <w:sz w:val="32"/>
          <w:szCs w:val="32"/>
        </w:rPr>
        <w:t>年全年政府信息公开工作情况作报告。</w:t>
      </w:r>
      <w:r>
        <w:rPr>
          <w:rFonts w:hint="default" w:ascii="Times New Roman" w:hAnsi="Times New Roman" w:eastAsia="方正仿宋_GBK" w:cs="Times New Roman"/>
          <w:spacing w:val="4"/>
          <w:sz w:val="32"/>
          <w:szCs w:val="32"/>
        </w:rPr>
        <w:t>完整年度报告将会在华宁县政府信息公开网站“政府信息公开年度报告”专栏以及华宁县人民政府网站“通知公告”专栏进行公开发布。</w:t>
      </w:r>
    </w:p>
    <w:p w14:paraId="6EE878BE">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25"/>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sz w:val="32"/>
          <w:szCs w:val="32"/>
        </w:rPr>
        <w:t>如有疑问，可咨询华宁县教育体育局行政办</w:t>
      </w:r>
      <w:r>
        <w:rPr>
          <w:rFonts w:hint="default" w:ascii="Times New Roman" w:hAnsi="Times New Roman" w:eastAsia="方正仿宋_GBK" w:cs="Times New Roman"/>
          <w:spacing w:val="-6"/>
          <w:sz w:val="32"/>
          <w:szCs w:val="32"/>
        </w:rPr>
        <w:t>公室，联系电话：</w:t>
      </w:r>
      <w:r>
        <w:rPr>
          <w:rFonts w:hint="default" w:ascii="Times New Roman" w:hAnsi="Times New Roman" w:eastAsia="方正仿宋_GBK" w:cs="Times New Roman"/>
          <w:spacing w:val="2"/>
          <w:sz w:val="32"/>
          <w:szCs w:val="32"/>
        </w:rPr>
        <w:t>0877—5013800。</w:t>
      </w:r>
    </w:p>
    <w:p w14:paraId="6BE0FCEF">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4" w:firstLineChars="200"/>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spacing w:val="1"/>
          <w:sz w:val="32"/>
          <w:szCs w:val="32"/>
        </w:rPr>
        <w:t>(一）概述</w:t>
      </w:r>
    </w:p>
    <w:p w14:paraId="35772A63">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35"/>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7"/>
          <w:sz w:val="32"/>
          <w:szCs w:val="32"/>
        </w:rPr>
        <w:t>按照《关于印发华宁县贯彻落实玉溪市政府办公室2020年</w:t>
      </w:r>
      <w:r>
        <w:rPr>
          <w:rFonts w:hint="default" w:ascii="Times New Roman" w:hAnsi="Times New Roman" w:eastAsia="方正仿宋_GBK" w:cs="Times New Roman"/>
          <w:spacing w:val="4"/>
          <w:sz w:val="32"/>
          <w:szCs w:val="32"/>
        </w:rPr>
        <w:t>政务公开工作要点分工方案的通知〔2020〕-8》要求，华宁</w:t>
      </w:r>
      <w:r>
        <w:rPr>
          <w:rFonts w:hint="default" w:ascii="Times New Roman" w:hAnsi="Times New Roman" w:eastAsia="方正仿宋_GBK" w:cs="Times New Roman"/>
          <w:spacing w:val="3"/>
          <w:sz w:val="32"/>
          <w:szCs w:val="32"/>
        </w:rPr>
        <w:t>县教</w:t>
      </w:r>
      <w:r>
        <w:rPr>
          <w:rFonts w:hint="default" w:ascii="Times New Roman" w:hAnsi="Times New Roman" w:eastAsia="方正仿宋_GBK" w:cs="Times New Roman"/>
          <w:spacing w:val="6"/>
          <w:sz w:val="32"/>
          <w:szCs w:val="32"/>
        </w:rPr>
        <w:t>育体育局高度重视，进一步明确责任分工，结合华宁教育实际，</w:t>
      </w:r>
      <w:r>
        <w:rPr>
          <w:rFonts w:hint="default" w:ascii="Times New Roman" w:hAnsi="Times New Roman" w:eastAsia="方正仿宋_GBK" w:cs="Times New Roman"/>
          <w:spacing w:val="8"/>
          <w:sz w:val="32"/>
          <w:szCs w:val="32"/>
        </w:rPr>
        <w:t>大力增强公开实效，政务公开工作取得了良好成效。</w:t>
      </w:r>
    </w:p>
    <w:p w14:paraId="456F721C">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56"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1.加强领导，确保政务公开工作扎实推进。</w:t>
      </w:r>
    </w:p>
    <w:p w14:paraId="1D3C3467">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55"/>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我局高度重视政务公开工作，进一步强化对新形势下全面推</w:t>
      </w:r>
      <w:r>
        <w:rPr>
          <w:rFonts w:hint="default" w:ascii="Times New Roman" w:hAnsi="Times New Roman" w:eastAsia="方正仿宋_GBK" w:cs="Times New Roman"/>
          <w:spacing w:val="4"/>
          <w:sz w:val="32"/>
          <w:szCs w:val="32"/>
        </w:rPr>
        <w:t>进政务公开工作重要性的认识，全面贯彻落实省、市和我县全面推进政务公开工作的决策部署，始终坚持把政务公开作为依法行政工作的重要内容，将政务公开列入重要议事日程，成立了由局长张彦旭任组长，副局长李海泉任副组长，行政办公室具体负责</w:t>
      </w:r>
      <w:r>
        <w:rPr>
          <w:rFonts w:hint="default" w:ascii="Times New Roman" w:hAnsi="Times New Roman" w:eastAsia="方正仿宋_GBK" w:cs="Times New Roman"/>
          <w:spacing w:val="7"/>
          <w:sz w:val="32"/>
          <w:szCs w:val="32"/>
        </w:rPr>
        <w:t>日常工作的政务公开工作领导小组，并安排专</w:t>
      </w:r>
      <w:r>
        <w:rPr>
          <w:rFonts w:hint="default" w:ascii="Times New Roman" w:hAnsi="Times New Roman" w:eastAsia="方正仿宋_GBK" w:cs="Times New Roman"/>
          <w:spacing w:val="6"/>
          <w:sz w:val="32"/>
          <w:szCs w:val="32"/>
        </w:rPr>
        <w:t>人负责公开工作，</w:t>
      </w:r>
      <w:r>
        <w:rPr>
          <w:rFonts w:hint="default" w:ascii="Times New Roman" w:hAnsi="Times New Roman" w:eastAsia="方正仿宋_GBK" w:cs="Times New Roman"/>
          <w:spacing w:val="7"/>
          <w:sz w:val="32"/>
          <w:szCs w:val="32"/>
        </w:rPr>
        <w:t>进一步健全了领导和工作机制，形成了主要领</w:t>
      </w:r>
      <w:r>
        <w:rPr>
          <w:rFonts w:hint="default" w:ascii="Times New Roman" w:hAnsi="Times New Roman" w:eastAsia="方正仿宋_GBK" w:cs="Times New Roman"/>
          <w:spacing w:val="6"/>
          <w:sz w:val="32"/>
          <w:szCs w:val="32"/>
        </w:rPr>
        <w:t>导亲自推进部署，</w:t>
      </w:r>
      <w:r>
        <w:rPr>
          <w:rFonts w:hint="default" w:ascii="Times New Roman" w:hAnsi="Times New Roman" w:eastAsia="方正仿宋_GBK" w:cs="Times New Roman"/>
          <w:spacing w:val="4"/>
          <w:sz w:val="32"/>
          <w:szCs w:val="32"/>
        </w:rPr>
        <w:t>责任领导落实具体措施，办公室组织实施，经办人员积极主动作为的工作格局。领导小组于年初召开工作部署会，听取上年度政务公开工作开展情况，提出工作中存在的问题，并对今年相关工作进行研究部署，保障各项工作顺利推进。同时，局领导班子定</w:t>
      </w:r>
      <w:r>
        <w:rPr>
          <w:rFonts w:hint="default" w:ascii="Times New Roman" w:hAnsi="Times New Roman" w:eastAsia="方正仿宋_GBK" w:cs="Times New Roman"/>
          <w:spacing w:val="8"/>
          <w:sz w:val="32"/>
          <w:szCs w:val="32"/>
        </w:rPr>
        <w:t>期组织召开局务会，专题研究政务公开工作。</w:t>
      </w:r>
    </w:p>
    <w:p w14:paraId="5A33DA65">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69"/>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围绕“六稳</w:t>
      </w:r>
      <w:r>
        <w:rPr>
          <w:rFonts w:hint="eastAsia" w:ascii="Times New Roman" w:hAnsi="Times New Roman" w:eastAsia="方正仿宋_GBK" w:cs="Times New Roman"/>
          <w:spacing w:val="3"/>
          <w:sz w:val="32"/>
          <w:szCs w:val="32"/>
          <w:lang w:eastAsia="zh-CN"/>
        </w:rPr>
        <w:t>”“</w:t>
      </w:r>
      <w:bookmarkStart w:id="0" w:name="_GoBack"/>
      <w:bookmarkEnd w:id="0"/>
      <w:r>
        <w:rPr>
          <w:rFonts w:hint="default" w:ascii="Times New Roman" w:hAnsi="Times New Roman" w:eastAsia="方正仿宋_GBK" w:cs="Times New Roman"/>
          <w:spacing w:val="3"/>
          <w:sz w:val="32"/>
          <w:szCs w:val="32"/>
        </w:rPr>
        <w:t>六保”工作大局，华宁县教育体育局坚持创新发</w:t>
      </w:r>
      <w:r>
        <w:rPr>
          <w:rFonts w:hint="default" w:ascii="Times New Roman" w:hAnsi="Times New Roman" w:eastAsia="方正仿宋_GBK" w:cs="Times New Roman"/>
          <w:spacing w:val="10"/>
          <w:sz w:val="32"/>
          <w:szCs w:val="32"/>
        </w:rPr>
        <w:t>展理念，进一步细化工作要点，分解任务方案，全面推进决策、</w:t>
      </w:r>
      <w:r>
        <w:rPr>
          <w:rFonts w:hint="default" w:ascii="Times New Roman" w:hAnsi="Times New Roman" w:eastAsia="方正仿宋_GBK" w:cs="Times New Roman"/>
          <w:spacing w:val="4"/>
          <w:sz w:val="32"/>
          <w:szCs w:val="32"/>
        </w:rPr>
        <w:t>执行、管理、服务、结果“五公开”工作，由行政办公室牵头并具体负责，各部门密切协作配合，形成工作合力，对表对标压实责任，逐项抓好工作落实。坚决贯彻“谁牵头负责、谁组织落实”的工作原则，按照局机关政务公开工作会议要求，加强组织统筹</w:t>
      </w:r>
      <w:r>
        <w:rPr>
          <w:rFonts w:hint="default" w:ascii="Times New Roman" w:hAnsi="Times New Roman" w:eastAsia="方正仿宋_GBK" w:cs="Times New Roman"/>
          <w:spacing w:val="11"/>
          <w:sz w:val="32"/>
          <w:szCs w:val="32"/>
        </w:rPr>
        <w:t>和工作定期汇报制度，第一责任人随时掌握了解工作进</w:t>
      </w:r>
      <w:r>
        <w:rPr>
          <w:rFonts w:hint="default" w:ascii="Times New Roman" w:hAnsi="Times New Roman" w:eastAsia="方正仿宋_GBK" w:cs="Times New Roman"/>
          <w:spacing w:val="10"/>
          <w:sz w:val="32"/>
          <w:szCs w:val="32"/>
        </w:rPr>
        <w:t>展情况，</w:t>
      </w:r>
      <w:r>
        <w:rPr>
          <w:rFonts w:hint="default" w:ascii="Times New Roman" w:hAnsi="Times New Roman" w:eastAsia="方正仿宋_GBK" w:cs="Times New Roman"/>
          <w:spacing w:val="8"/>
          <w:sz w:val="32"/>
          <w:szCs w:val="32"/>
        </w:rPr>
        <w:t>促进了工作的有序有效开展。</w:t>
      </w:r>
    </w:p>
    <w:p w14:paraId="6370A8EB">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36"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
          <w:sz w:val="32"/>
          <w:szCs w:val="32"/>
        </w:rPr>
        <w:t>2.落实任务，增强政务公开实效</w:t>
      </w:r>
    </w:p>
    <w:p w14:paraId="756E63AE">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6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sz w:val="32"/>
          <w:szCs w:val="32"/>
        </w:rPr>
        <w:t>（1）做好政务公开平台栏目的建设维护工作</w:t>
      </w:r>
    </w:p>
    <w:p w14:paraId="5EC57250">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39"/>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按照县政府对政府网站的管理维护要求，华宁县教育体育局积极强化组织协调，加大工作力度，有序推进政务公开工作和政</w:t>
      </w:r>
      <w:r>
        <w:rPr>
          <w:rFonts w:hint="default" w:ascii="Times New Roman" w:hAnsi="Times New Roman" w:eastAsia="方正仿宋_GBK" w:cs="Times New Roman"/>
          <w:spacing w:val="8"/>
          <w:sz w:val="32"/>
          <w:szCs w:val="32"/>
        </w:rPr>
        <w:t>府网站集约化整合建设，明确政府网站的功能定位和建设</w:t>
      </w:r>
      <w:r>
        <w:rPr>
          <w:rFonts w:hint="default" w:ascii="Times New Roman" w:hAnsi="Times New Roman" w:eastAsia="方正仿宋_GBK" w:cs="Times New Roman"/>
          <w:spacing w:val="7"/>
          <w:sz w:val="32"/>
          <w:szCs w:val="32"/>
        </w:rPr>
        <w:t>要求，</w:t>
      </w:r>
      <w:r>
        <w:rPr>
          <w:rFonts w:hint="default" w:ascii="Times New Roman" w:hAnsi="Times New Roman" w:eastAsia="方正仿宋_GBK" w:cs="Times New Roman"/>
          <w:spacing w:val="4"/>
          <w:sz w:val="32"/>
          <w:szCs w:val="32"/>
        </w:rPr>
        <w:t>充分发挥政务公开第一平台作用，在华宁县人民政府网及时更新政务信息等教育相关栏目，并在华宁县人民政府信息网建立了机</w:t>
      </w:r>
      <w:r>
        <w:rPr>
          <w:rFonts w:hint="default" w:ascii="Times New Roman" w:hAnsi="Times New Roman" w:eastAsia="方正仿宋_GBK" w:cs="Times New Roman"/>
          <w:spacing w:val="8"/>
          <w:sz w:val="32"/>
          <w:szCs w:val="32"/>
        </w:rPr>
        <w:t>构概况、通知公告、办事指南、教育法律法规、华宁教育</w:t>
      </w:r>
      <w:r>
        <w:rPr>
          <w:rFonts w:hint="default" w:ascii="Times New Roman" w:hAnsi="Times New Roman" w:eastAsia="方正仿宋_GBK" w:cs="Times New Roman"/>
          <w:spacing w:val="7"/>
          <w:sz w:val="32"/>
          <w:szCs w:val="32"/>
        </w:rPr>
        <w:t>信息、</w:t>
      </w:r>
      <w:r>
        <w:rPr>
          <w:rFonts w:hint="default" w:ascii="Times New Roman" w:hAnsi="Times New Roman" w:eastAsia="方正仿宋_GBK" w:cs="Times New Roman"/>
          <w:spacing w:val="3"/>
          <w:sz w:val="32"/>
          <w:szCs w:val="32"/>
        </w:rPr>
        <w:t>招考信息等8个教育栏目板块。建设了《义务</w:t>
      </w:r>
      <w:r>
        <w:rPr>
          <w:rFonts w:hint="default" w:ascii="Times New Roman" w:hAnsi="Times New Roman" w:eastAsia="方正仿宋_GBK" w:cs="Times New Roman"/>
          <w:spacing w:val="2"/>
          <w:sz w:val="32"/>
          <w:szCs w:val="32"/>
        </w:rPr>
        <w:t>教育领域公开标准</w:t>
      </w:r>
      <w:r>
        <w:rPr>
          <w:rFonts w:hint="default" w:ascii="Times New Roman" w:hAnsi="Times New Roman" w:eastAsia="方正仿宋_GBK" w:cs="Times New Roman"/>
          <w:spacing w:val="-3"/>
          <w:sz w:val="32"/>
          <w:szCs w:val="32"/>
        </w:rPr>
        <w:t>目录》所要求的栏目。公开内容更贴近群众需要了解的教育事</w:t>
      </w:r>
      <w:r>
        <w:rPr>
          <w:rFonts w:hint="default" w:ascii="Times New Roman" w:hAnsi="Times New Roman" w:eastAsia="方正仿宋_GBK" w:cs="Times New Roman"/>
          <w:spacing w:val="-4"/>
          <w:sz w:val="32"/>
          <w:szCs w:val="32"/>
        </w:rPr>
        <w:t>实，</w:t>
      </w:r>
      <w:r>
        <w:rPr>
          <w:rFonts w:hint="default" w:ascii="Times New Roman" w:hAnsi="Times New Roman" w:eastAsia="方正仿宋_GBK" w:cs="Times New Roman"/>
          <w:spacing w:val="-3"/>
          <w:sz w:val="32"/>
          <w:szCs w:val="32"/>
        </w:rPr>
        <w:t>进一步提升网站的集群效应，加强了公开的实效。同时按照市</w:t>
      </w:r>
      <w:r>
        <w:rPr>
          <w:rFonts w:hint="default" w:ascii="Times New Roman" w:hAnsi="Times New Roman" w:eastAsia="方正仿宋_GBK" w:cs="Times New Roman"/>
          <w:spacing w:val="-4"/>
          <w:sz w:val="32"/>
          <w:szCs w:val="32"/>
        </w:rPr>
        <w:t>级、</w:t>
      </w:r>
      <w:r>
        <w:rPr>
          <w:rFonts w:hint="default" w:ascii="Times New Roman" w:hAnsi="Times New Roman" w:eastAsia="方正仿宋_GBK" w:cs="Times New Roman"/>
          <w:spacing w:val="4"/>
          <w:sz w:val="32"/>
          <w:szCs w:val="32"/>
        </w:rPr>
        <w:t>县级关于政府网站重点领域信息公开专栏建设规范的要求，围绕近年政府信息与政务公开重点工作，华宁县教育体育局积极对照市县重点项目清单，结合部门实际，积极主动公开政务信息，提</w:t>
      </w:r>
      <w:r>
        <w:rPr>
          <w:rFonts w:hint="default" w:ascii="Times New Roman" w:hAnsi="Times New Roman" w:eastAsia="方正仿宋_GBK" w:cs="Times New Roman"/>
          <w:spacing w:val="7"/>
          <w:sz w:val="32"/>
          <w:szCs w:val="32"/>
        </w:rPr>
        <w:t>高政务公开实效。</w:t>
      </w:r>
    </w:p>
    <w:p w14:paraId="1211294E">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52"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w:t>
      </w:r>
      <w:r>
        <w:rPr>
          <w:rFonts w:hint="default" w:ascii="Times New Roman" w:hAnsi="Times New Roman" w:eastAsia="方正仿宋_GBK" w:cs="Times New Roman"/>
          <w:spacing w:val="-74"/>
          <w:sz w:val="32"/>
          <w:szCs w:val="32"/>
        </w:rPr>
        <w:t xml:space="preserve"> </w:t>
      </w:r>
      <w:r>
        <w:rPr>
          <w:rFonts w:hint="default" w:ascii="Times New Roman" w:hAnsi="Times New Roman" w:eastAsia="方正仿宋_GBK" w:cs="Times New Roman"/>
          <w:spacing w:val="3"/>
          <w:sz w:val="32"/>
          <w:szCs w:val="32"/>
        </w:rPr>
        <w:t>2）加强政务公开工作统筹</w:t>
      </w:r>
    </w:p>
    <w:p w14:paraId="0362F064">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4"/>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坚持“政务公开无小事”的原则，局机关高度重视加强对机</w:t>
      </w:r>
      <w:r>
        <w:rPr>
          <w:rFonts w:hint="default" w:ascii="Times New Roman" w:hAnsi="Times New Roman" w:eastAsia="方正仿宋_GBK" w:cs="Times New Roman"/>
          <w:spacing w:val="9"/>
          <w:sz w:val="32"/>
          <w:szCs w:val="32"/>
        </w:rPr>
        <w:t>关工作人员特别是领导干部、专兼职管理员的政务公开业务培</w:t>
      </w:r>
      <w:r>
        <w:rPr>
          <w:rFonts w:hint="default" w:ascii="Times New Roman" w:hAnsi="Times New Roman" w:eastAsia="方正仿宋_GBK" w:cs="Times New Roman"/>
          <w:spacing w:val="4"/>
          <w:sz w:val="32"/>
          <w:szCs w:val="32"/>
        </w:rPr>
        <w:t>训，积极组织相关人员参加县级、市级组织的相关业务指导和培训会议，并在平时的职工会议、办公会议中将相关业务及政策法规作为学习内容，在全局范围内开展学习交流，提升全局政务公开的理论水平和业务能力，确保教育系统政务公开工作严格依法</w:t>
      </w:r>
      <w:r>
        <w:rPr>
          <w:rFonts w:hint="default" w:ascii="Times New Roman" w:hAnsi="Times New Roman" w:eastAsia="方正仿宋_GBK" w:cs="Times New Roman"/>
          <w:spacing w:val="6"/>
          <w:sz w:val="32"/>
          <w:szCs w:val="32"/>
        </w:rPr>
        <w:t>依规进行。</w:t>
      </w:r>
    </w:p>
    <w:p w14:paraId="21C056BC">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9"/>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7"/>
          <w:sz w:val="32"/>
          <w:szCs w:val="32"/>
        </w:rPr>
        <w:t>对照华宁县2020年政务公开工作要点分工方案，华宁县教</w:t>
      </w:r>
      <w:r>
        <w:rPr>
          <w:rFonts w:hint="default" w:ascii="Times New Roman" w:hAnsi="Times New Roman" w:eastAsia="方正仿宋_GBK" w:cs="Times New Roman"/>
          <w:spacing w:val="4"/>
          <w:sz w:val="32"/>
          <w:szCs w:val="32"/>
        </w:rPr>
        <w:t>育体育局建立了政务公开工作台账制度，有公开就有登记，有公开就有审查。严格执行保密审查制度，对拟公开的政务信息依法</w:t>
      </w:r>
      <w:r>
        <w:rPr>
          <w:rFonts w:hint="default" w:ascii="Times New Roman" w:hAnsi="Times New Roman" w:eastAsia="方正仿宋_GBK" w:cs="Times New Roman"/>
          <w:spacing w:val="7"/>
          <w:sz w:val="32"/>
          <w:szCs w:val="32"/>
        </w:rPr>
        <w:t>依规做好保密审查。</w:t>
      </w:r>
    </w:p>
    <w:p w14:paraId="64EF3E14">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52"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w:t>
      </w:r>
      <w:r>
        <w:rPr>
          <w:rFonts w:hint="default" w:ascii="Times New Roman" w:hAnsi="Times New Roman" w:eastAsia="方正仿宋_GBK" w:cs="Times New Roman"/>
          <w:spacing w:val="-62"/>
          <w:sz w:val="32"/>
          <w:szCs w:val="32"/>
        </w:rPr>
        <w:t xml:space="preserve"> </w:t>
      </w:r>
      <w:r>
        <w:rPr>
          <w:rFonts w:hint="default" w:ascii="Times New Roman" w:hAnsi="Times New Roman" w:eastAsia="方正仿宋_GBK" w:cs="Times New Roman"/>
          <w:spacing w:val="3"/>
          <w:sz w:val="32"/>
          <w:szCs w:val="32"/>
        </w:rPr>
        <w:t>3）全面执行管理服务结果</w:t>
      </w:r>
      <w:r>
        <w:rPr>
          <w:rFonts w:hint="default" w:ascii="Times New Roman" w:hAnsi="Times New Roman" w:eastAsia="方正仿宋_GBK" w:cs="Times New Roman"/>
          <w:spacing w:val="-104"/>
          <w:sz w:val="32"/>
          <w:szCs w:val="32"/>
        </w:rPr>
        <w:t xml:space="preserve"> </w:t>
      </w:r>
      <w:r>
        <w:rPr>
          <w:rFonts w:hint="default" w:ascii="Times New Roman" w:hAnsi="Times New Roman" w:eastAsia="方正仿宋_GBK" w:cs="Times New Roman"/>
          <w:spacing w:val="3"/>
          <w:sz w:val="32"/>
          <w:szCs w:val="32"/>
        </w:rPr>
        <w:t>“五公开”工作机制</w:t>
      </w:r>
    </w:p>
    <w:p w14:paraId="08E69902">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31"/>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严格落实《关于全面推进政务公开工作的意见》及其实施细则的相关要求，将“五公开”纳入办文办会程序、建立公开内容按照我县县属各部门主动公开基本目录，将公开要求落实到会议</w:t>
      </w:r>
      <w:r>
        <w:rPr>
          <w:rFonts w:hint="default" w:ascii="Times New Roman" w:hAnsi="Times New Roman" w:eastAsia="方正仿宋_GBK" w:cs="Times New Roman"/>
          <w:spacing w:val="-4"/>
          <w:sz w:val="32"/>
          <w:szCs w:val="32"/>
        </w:rPr>
        <w:t>办理程序，严格“三重一大”会议制度，落实局务会等决策会议，</w:t>
      </w:r>
      <w:r>
        <w:rPr>
          <w:rFonts w:hint="default" w:ascii="Times New Roman" w:hAnsi="Times New Roman" w:eastAsia="方正仿宋_GBK" w:cs="Times New Roman"/>
          <w:spacing w:val="4"/>
          <w:sz w:val="32"/>
          <w:szCs w:val="32"/>
        </w:rPr>
        <w:t>邀请纪委驻教育体育局纪检组工作人员列席会议，是否公开及公</w:t>
      </w:r>
      <w:r>
        <w:rPr>
          <w:rFonts w:hint="default" w:ascii="Times New Roman" w:hAnsi="Times New Roman" w:eastAsia="方正仿宋_GBK" w:cs="Times New Roman"/>
          <w:spacing w:val="8"/>
          <w:sz w:val="32"/>
          <w:szCs w:val="32"/>
        </w:rPr>
        <w:t>开方式的意见随会议方案一同报批。</w:t>
      </w:r>
    </w:p>
    <w:p w14:paraId="5C4C8274">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pacing w:val="-50"/>
          <w:sz w:val="32"/>
          <w:szCs w:val="32"/>
        </w:rPr>
        <w:t xml:space="preserve"> </w:t>
      </w:r>
      <w:r>
        <w:rPr>
          <w:rFonts w:hint="default" w:ascii="Times New Roman" w:hAnsi="Times New Roman" w:eastAsia="方正仿宋_GBK" w:cs="Times New Roman"/>
          <w:sz w:val="32"/>
          <w:szCs w:val="32"/>
        </w:rPr>
        <w:t>强化政策落实，以政务公开助力惠民生</w:t>
      </w:r>
    </w:p>
    <w:p w14:paraId="7CCAFC3E">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37"/>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按照网站建设规定要求，华宁县教育体育局积极推进网站栏目建设精准细化，在华宁县人民政府信息网开设教育法律法规栏目，推进义务教育招生入学政策公开，公开各类群众热切关注的问题信息，并接受社会监督。同时日常更新教育相关政策法规，方便群众随时掌握教育制度变更动态。开设政务公开栏目，落实</w:t>
      </w:r>
      <w:r>
        <w:rPr>
          <w:rFonts w:hint="default" w:ascii="Times New Roman" w:hAnsi="Times New Roman" w:eastAsia="方正仿宋_GBK" w:cs="Times New Roman"/>
          <w:spacing w:val="6"/>
          <w:sz w:val="32"/>
          <w:szCs w:val="32"/>
        </w:rPr>
        <w:t>校财局管制度，推动学校财务信息公开，主动公开预决算信息，</w:t>
      </w:r>
      <w:r>
        <w:rPr>
          <w:rFonts w:hint="default" w:ascii="Times New Roman" w:hAnsi="Times New Roman" w:eastAsia="方正仿宋_GBK" w:cs="Times New Roman"/>
          <w:spacing w:val="-7"/>
          <w:sz w:val="32"/>
          <w:szCs w:val="32"/>
        </w:rPr>
        <w:t>资产与财务管理制度，仪器设备、图书等物资设备采购情况、“三</w:t>
      </w:r>
      <w:r>
        <w:rPr>
          <w:rFonts w:hint="default" w:ascii="Times New Roman" w:hAnsi="Times New Roman" w:eastAsia="方正仿宋_GBK" w:cs="Times New Roman"/>
          <w:spacing w:val="4"/>
          <w:sz w:val="32"/>
          <w:szCs w:val="32"/>
        </w:rPr>
        <w:t>公经费”使用情况等，真正做到财务阳光、透明、公开，接受社</w:t>
      </w:r>
      <w:r>
        <w:rPr>
          <w:rFonts w:hint="default" w:ascii="Times New Roman" w:hAnsi="Times New Roman" w:eastAsia="方正仿宋_GBK" w:cs="Times New Roman"/>
          <w:spacing w:val="6"/>
          <w:sz w:val="32"/>
          <w:szCs w:val="32"/>
        </w:rPr>
        <w:t>会大众监督。</w:t>
      </w:r>
    </w:p>
    <w:p w14:paraId="105D9CF6">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8"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
          <w:sz w:val="32"/>
          <w:szCs w:val="32"/>
        </w:rPr>
        <w:t>4.推进“放管服”信息公开</w:t>
      </w:r>
      <w:r>
        <w:rPr>
          <w:rFonts w:hint="default" w:ascii="Times New Roman" w:hAnsi="Times New Roman" w:eastAsia="方正仿宋_GBK" w:cs="Times New Roman"/>
          <w:spacing w:val="-36"/>
          <w:sz w:val="32"/>
          <w:szCs w:val="32"/>
        </w:rPr>
        <w:t xml:space="preserve"> </w:t>
      </w:r>
      <w:r>
        <w:rPr>
          <w:rFonts w:hint="default" w:ascii="Times New Roman" w:hAnsi="Times New Roman" w:eastAsia="方正仿宋_GBK" w:cs="Times New Roman"/>
          <w:spacing w:val="2"/>
          <w:sz w:val="32"/>
          <w:szCs w:val="32"/>
        </w:rPr>
        <w:t>，</w:t>
      </w:r>
      <w:r>
        <w:rPr>
          <w:rFonts w:hint="default" w:ascii="Times New Roman" w:hAnsi="Times New Roman" w:eastAsia="方正仿宋_GBK" w:cs="Times New Roman"/>
          <w:spacing w:val="-36"/>
          <w:sz w:val="32"/>
          <w:szCs w:val="32"/>
        </w:rPr>
        <w:t xml:space="preserve"> </w:t>
      </w:r>
      <w:r>
        <w:rPr>
          <w:rFonts w:hint="default" w:ascii="Times New Roman" w:hAnsi="Times New Roman" w:eastAsia="方正仿宋_GBK" w:cs="Times New Roman"/>
          <w:spacing w:val="2"/>
          <w:sz w:val="32"/>
          <w:szCs w:val="32"/>
        </w:rPr>
        <w:t>以政务公开助力教育改革</w:t>
      </w:r>
    </w:p>
    <w:p w14:paraId="75C0571A">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34"/>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进一步推进教育监管信息公开力度。以公开生动力，促进全县教育系统做好全面改善义务教育薄弱学校、薄弱环节基本办学条件等工作。对全面改善薄弱学校基本办学条件、农村义务教育学生营养改善计划、县域义务教育均衡发展督导评估认定等重点</w:t>
      </w:r>
      <w:r>
        <w:rPr>
          <w:rFonts w:hint="default" w:ascii="Times New Roman" w:hAnsi="Times New Roman" w:eastAsia="方正仿宋_GBK" w:cs="Times New Roman"/>
          <w:spacing w:val="8"/>
          <w:sz w:val="32"/>
          <w:szCs w:val="32"/>
        </w:rPr>
        <w:t>工作进展情况根据实际情况有序公开。</w:t>
      </w:r>
    </w:p>
    <w:p w14:paraId="2E314ECC">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52"/>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sz w:val="32"/>
          <w:szCs w:val="32"/>
        </w:rPr>
        <w:t>大力推进“互联网+政务服务”，在政府信息</w:t>
      </w:r>
      <w:r>
        <w:rPr>
          <w:rFonts w:hint="default" w:ascii="Times New Roman" w:hAnsi="Times New Roman" w:eastAsia="方正仿宋_GBK" w:cs="Times New Roman"/>
          <w:spacing w:val="4"/>
          <w:sz w:val="32"/>
          <w:szCs w:val="32"/>
        </w:rPr>
        <w:t>网开设“办事指南”专栏，发布相关行政许可事项办事指南及业务手册，同时维护建设好政务服务工作平台，协调做好政务服务事项的录入核查工作，完成政务服务事项目录的编制工作；加快推进平台的在线使用，推动教师资格审批等与群众生活密切相关的服务事项网上办理，加快实体政务大厅与网上服务平台融合发展，让相关法</w:t>
      </w:r>
      <w:r>
        <w:rPr>
          <w:rFonts w:hint="default" w:ascii="Times New Roman" w:hAnsi="Times New Roman" w:eastAsia="方正仿宋_GBK" w:cs="Times New Roman"/>
          <w:spacing w:val="7"/>
          <w:sz w:val="32"/>
          <w:szCs w:val="32"/>
        </w:rPr>
        <w:t>人和群众办事更加便捷。</w:t>
      </w:r>
    </w:p>
    <w:p w14:paraId="76207EE4">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59"/>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3"/>
          <w:sz w:val="32"/>
          <w:szCs w:val="32"/>
        </w:rPr>
        <w:t>围绕年内实现“双随机、一公开”监管全覆盖目标，汇总形</w:t>
      </w:r>
      <w:r>
        <w:rPr>
          <w:rFonts w:hint="default" w:ascii="Times New Roman" w:hAnsi="Times New Roman" w:eastAsia="方正仿宋_GBK" w:cs="Times New Roman"/>
          <w:spacing w:val="4"/>
          <w:sz w:val="32"/>
          <w:szCs w:val="32"/>
        </w:rPr>
        <w:t>成本级随机抽查事项清单，以教师资格证审批和民办学校办学情况为重点，明确抽查依据、主体、内容、方式等，做好相关抽查</w:t>
      </w:r>
      <w:r>
        <w:rPr>
          <w:rFonts w:hint="default" w:ascii="Times New Roman" w:hAnsi="Times New Roman" w:eastAsia="方正仿宋_GBK" w:cs="Times New Roman"/>
          <w:spacing w:val="7"/>
          <w:sz w:val="32"/>
          <w:szCs w:val="32"/>
        </w:rPr>
        <w:t>准备工作，抽查后及时公开。</w:t>
      </w:r>
    </w:p>
    <w:p w14:paraId="35F6D509">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0" w:firstLineChars="20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5.明确任务，</w:t>
      </w:r>
      <w:r>
        <w:rPr>
          <w:rFonts w:hint="default" w:ascii="Times New Roman" w:hAnsi="Times New Roman" w:eastAsia="方正仿宋_GBK" w:cs="Times New Roman"/>
          <w:spacing w:val="-68"/>
          <w:sz w:val="32"/>
          <w:szCs w:val="32"/>
        </w:rPr>
        <w:t xml:space="preserve"> </w:t>
      </w:r>
      <w:r>
        <w:rPr>
          <w:rFonts w:hint="default" w:ascii="Times New Roman" w:hAnsi="Times New Roman" w:eastAsia="方正仿宋_GBK" w:cs="Times New Roman"/>
          <w:sz w:val="32"/>
          <w:szCs w:val="32"/>
        </w:rPr>
        <w:t>确保政务公开工作落实落细</w:t>
      </w:r>
    </w:p>
    <w:p w14:paraId="4F7BEB6A">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7"/>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局办公室牵头、督促、指导各股室将涉及股室的工作任</w:t>
      </w:r>
      <w:r>
        <w:rPr>
          <w:rFonts w:hint="default" w:ascii="Times New Roman" w:hAnsi="Times New Roman" w:eastAsia="方正仿宋_GBK" w:cs="Times New Roman"/>
          <w:spacing w:val="3"/>
          <w:sz w:val="32"/>
          <w:szCs w:val="32"/>
        </w:rPr>
        <w:t>务进</w:t>
      </w:r>
      <w:r>
        <w:rPr>
          <w:rFonts w:hint="default" w:ascii="Times New Roman" w:hAnsi="Times New Roman" w:eastAsia="方正仿宋_GBK" w:cs="Times New Roman"/>
          <w:spacing w:val="4"/>
          <w:sz w:val="32"/>
          <w:szCs w:val="32"/>
        </w:rPr>
        <w:t>一步分解细化，安排到到人。教育法规、机构概况等基础信息由局办公室直接负责公开，财务信息由计财股出纳整理后交由局办公室负责发布，教育信息等相关动态信息由各股室编写审核后转局办公室进行终审发布，同时做好各项保密审查工作。除网站发布人员外，县教育体育局明确规定其他人员一律不得参与信息公开发布工作，进一步加强了政务公开工作的管理，同时强化了各股室之间的联系，明确了具体要求，不断强化对上沟通、横向协</w:t>
      </w:r>
      <w:r>
        <w:rPr>
          <w:rFonts w:hint="default" w:ascii="Times New Roman" w:hAnsi="Times New Roman" w:eastAsia="方正仿宋_GBK" w:cs="Times New Roman"/>
          <w:spacing w:val="9"/>
          <w:sz w:val="32"/>
          <w:szCs w:val="32"/>
        </w:rPr>
        <w:t>调，方便各股室及局领导及时掌握上报有关情况。</w:t>
      </w:r>
    </w:p>
    <w:p w14:paraId="501DD32A">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4" w:firstLineChars="200"/>
        <w:textAlignment w:val="baseline"/>
        <w:rPr>
          <w:rFonts w:hint="default" w:ascii="方正楷体_GBK" w:hAnsi="方正楷体_GBK" w:eastAsia="方正楷体_GBK" w:cs="方正楷体_GBK"/>
          <w:spacing w:val="1"/>
          <w:sz w:val="32"/>
          <w:szCs w:val="32"/>
        </w:rPr>
      </w:pPr>
      <w:r>
        <w:rPr>
          <w:rFonts w:hint="default" w:ascii="方正楷体_GBK" w:hAnsi="方正楷体_GBK" w:eastAsia="方正楷体_GBK" w:cs="方正楷体_GBK"/>
          <w:spacing w:val="1"/>
          <w:sz w:val="32"/>
          <w:szCs w:val="32"/>
        </w:rPr>
        <w:t>（二）主动公开政府信息情况</w:t>
      </w:r>
    </w:p>
    <w:p w14:paraId="298E9D6B">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6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7"/>
          <w:sz w:val="32"/>
          <w:szCs w:val="32"/>
        </w:rPr>
        <w:t>2020年全年，通过政府网站公开的方式，华宁县教育体育</w:t>
      </w:r>
      <w:r>
        <w:rPr>
          <w:rFonts w:hint="default" w:ascii="Times New Roman" w:hAnsi="Times New Roman" w:eastAsia="方正仿宋_GBK" w:cs="Times New Roman"/>
          <w:spacing w:val="10"/>
          <w:sz w:val="32"/>
          <w:szCs w:val="32"/>
        </w:rPr>
        <w:t>局在华宁县政府信息公开门户网站和华宁县人民政</w:t>
      </w:r>
      <w:r>
        <w:rPr>
          <w:rFonts w:hint="default" w:ascii="Times New Roman" w:hAnsi="Times New Roman" w:eastAsia="方正仿宋_GBK" w:cs="Times New Roman"/>
          <w:spacing w:val="9"/>
          <w:sz w:val="32"/>
          <w:szCs w:val="32"/>
        </w:rPr>
        <w:t>府信息网主</w:t>
      </w:r>
      <w:r>
        <w:rPr>
          <w:rFonts w:hint="default" w:ascii="Times New Roman" w:hAnsi="Times New Roman" w:eastAsia="方正仿宋_GBK" w:cs="Times New Roman"/>
          <w:spacing w:val="3"/>
          <w:sz w:val="32"/>
          <w:szCs w:val="32"/>
        </w:rPr>
        <w:t>动公开信息280条。为方便群众查阅，华宁县教育体育局在</w:t>
      </w:r>
      <w:r>
        <w:rPr>
          <w:rFonts w:hint="default" w:ascii="Times New Roman" w:hAnsi="Times New Roman" w:eastAsia="方正仿宋_GBK" w:cs="Times New Roman"/>
          <w:spacing w:val="2"/>
          <w:sz w:val="32"/>
          <w:szCs w:val="32"/>
        </w:rPr>
        <w:t>政府</w:t>
      </w:r>
      <w:r>
        <w:rPr>
          <w:rFonts w:hint="default" w:ascii="Times New Roman" w:hAnsi="Times New Roman" w:eastAsia="方正仿宋_GBK" w:cs="Times New Roman"/>
          <w:spacing w:val="5"/>
          <w:sz w:val="32"/>
          <w:szCs w:val="32"/>
        </w:rPr>
        <w:t>信息网开设机构概况、办事指南、通知公告、政务公开</w:t>
      </w:r>
      <w:r>
        <w:rPr>
          <w:rFonts w:hint="default" w:ascii="Times New Roman" w:hAnsi="Times New Roman" w:eastAsia="方正仿宋_GBK" w:cs="Times New Roman"/>
          <w:spacing w:val="4"/>
          <w:sz w:val="32"/>
          <w:szCs w:val="32"/>
        </w:rPr>
        <w:t>、教育法</w:t>
      </w:r>
      <w:r>
        <w:rPr>
          <w:rFonts w:hint="default" w:ascii="Times New Roman" w:hAnsi="Times New Roman" w:eastAsia="方正仿宋_GBK" w:cs="Times New Roman"/>
          <w:spacing w:val="7"/>
          <w:sz w:val="32"/>
          <w:szCs w:val="32"/>
        </w:rPr>
        <w:t>律法规、招生考试、华宁教育信息7个专栏。2020年，共</w:t>
      </w:r>
      <w:r>
        <w:rPr>
          <w:rFonts w:hint="default" w:ascii="Times New Roman" w:hAnsi="Times New Roman" w:eastAsia="方正仿宋_GBK" w:cs="Times New Roman"/>
          <w:spacing w:val="6"/>
          <w:sz w:val="32"/>
          <w:szCs w:val="32"/>
        </w:rPr>
        <w:t>公开</w:t>
      </w:r>
      <w:r>
        <w:rPr>
          <w:rFonts w:hint="default" w:ascii="Times New Roman" w:hAnsi="Times New Roman" w:eastAsia="方正仿宋_GBK" w:cs="Times New Roman"/>
          <w:spacing w:val="-3"/>
          <w:sz w:val="32"/>
          <w:szCs w:val="32"/>
        </w:rPr>
        <w:t>班子成员分工等1条，教师招考公告2条，预算决算公告21条，</w:t>
      </w:r>
      <w:r>
        <w:rPr>
          <w:rFonts w:hint="default" w:ascii="Times New Roman" w:hAnsi="Times New Roman" w:eastAsia="方正仿宋_GBK" w:cs="Times New Roman"/>
          <w:spacing w:val="4"/>
          <w:sz w:val="32"/>
          <w:szCs w:val="32"/>
        </w:rPr>
        <w:t>招生考试信息4条，各种文件公告11条，其它9条。华宁教育</w:t>
      </w:r>
      <w:r>
        <w:rPr>
          <w:rFonts w:hint="default" w:ascii="Times New Roman" w:hAnsi="Times New Roman" w:eastAsia="方正仿宋_GBK" w:cs="Times New Roman"/>
          <w:spacing w:val="7"/>
          <w:sz w:val="32"/>
          <w:szCs w:val="32"/>
        </w:rPr>
        <w:t>信息（包括两个个网站）232条，所有信息</w:t>
      </w:r>
      <w:r>
        <w:rPr>
          <w:rFonts w:hint="default" w:ascii="Times New Roman" w:hAnsi="Times New Roman" w:eastAsia="方正仿宋_GBK" w:cs="Times New Roman"/>
          <w:spacing w:val="6"/>
          <w:sz w:val="32"/>
          <w:szCs w:val="32"/>
        </w:rPr>
        <w:t>均已经过保密审查登</w:t>
      </w:r>
      <w:r>
        <w:rPr>
          <w:rFonts w:hint="default" w:ascii="Times New Roman" w:hAnsi="Times New Roman" w:eastAsia="方正仿宋_GBK" w:cs="Times New Roman"/>
          <w:spacing w:val="3"/>
          <w:sz w:val="32"/>
          <w:szCs w:val="32"/>
        </w:rPr>
        <w:t>记。</w:t>
      </w:r>
    </w:p>
    <w:p w14:paraId="1A7A2774">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4" w:firstLineChars="200"/>
        <w:textAlignment w:val="baseline"/>
        <w:rPr>
          <w:rFonts w:hint="default" w:ascii="方正楷体_GBK" w:hAnsi="方正楷体_GBK" w:eastAsia="方正楷体_GBK" w:cs="方正楷体_GBK"/>
          <w:spacing w:val="1"/>
          <w:sz w:val="32"/>
          <w:szCs w:val="32"/>
        </w:rPr>
      </w:pPr>
      <w:r>
        <w:rPr>
          <w:rFonts w:hint="default" w:ascii="方正楷体_GBK" w:hAnsi="方正楷体_GBK" w:eastAsia="方正楷体_GBK" w:cs="方正楷体_GBK"/>
          <w:spacing w:val="1"/>
          <w:sz w:val="32"/>
          <w:szCs w:val="32"/>
        </w:rPr>
        <w:t>（三）政府信息依申请公开办理情况</w:t>
      </w:r>
    </w:p>
    <w:p w14:paraId="181AE4A4">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68"/>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sz w:val="32"/>
          <w:szCs w:val="32"/>
        </w:rPr>
        <w:t>1.华宁县教育体育局健全政务和校务信息依申请公开机制，为进一步保障公民、法人和其他组织的知情权，明确了</w:t>
      </w:r>
      <w:r>
        <w:rPr>
          <w:rFonts w:hint="default" w:ascii="Times New Roman" w:hAnsi="Times New Roman" w:eastAsia="方正仿宋_GBK" w:cs="Times New Roman"/>
          <w:spacing w:val="4"/>
          <w:sz w:val="32"/>
          <w:szCs w:val="32"/>
        </w:rPr>
        <w:t>受理依申</w:t>
      </w:r>
      <w:r>
        <w:rPr>
          <w:rFonts w:hint="default" w:ascii="Times New Roman" w:hAnsi="Times New Roman" w:eastAsia="方正仿宋_GBK" w:cs="Times New Roman"/>
          <w:spacing w:val="5"/>
          <w:sz w:val="32"/>
          <w:szCs w:val="32"/>
        </w:rPr>
        <w:t>请公开的时限、程序和形式，依法满足人民群众获取政</w:t>
      </w:r>
      <w:r>
        <w:rPr>
          <w:rFonts w:hint="default" w:ascii="Times New Roman" w:hAnsi="Times New Roman" w:eastAsia="方正仿宋_GBK" w:cs="Times New Roman"/>
          <w:spacing w:val="4"/>
          <w:sz w:val="32"/>
          <w:szCs w:val="32"/>
        </w:rPr>
        <w:t>务和校务</w:t>
      </w:r>
      <w:r>
        <w:rPr>
          <w:rFonts w:hint="default" w:ascii="Times New Roman" w:hAnsi="Times New Roman" w:eastAsia="方正仿宋_GBK" w:cs="Times New Roman"/>
          <w:spacing w:val="8"/>
          <w:sz w:val="32"/>
          <w:szCs w:val="32"/>
        </w:rPr>
        <w:t>信息的特殊需要。</w:t>
      </w:r>
    </w:p>
    <w:p w14:paraId="685F2695">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50"/>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sz w:val="32"/>
          <w:szCs w:val="32"/>
        </w:rPr>
        <w:t>2.2020年，包括当面申请、传真申请、</w:t>
      </w:r>
      <w:r>
        <w:rPr>
          <w:rFonts w:hint="default" w:ascii="Times New Roman" w:hAnsi="Times New Roman" w:eastAsia="方正仿宋_GBK" w:cs="Times New Roman"/>
          <w:spacing w:val="-93"/>
          <w:sz w:val="32"/>
          <w:szCs w:val="32"/>
        </w:rPr>
        <w:t xml:space="preserve"> </w:t>
      </w:r>
      <w:r>
        <w:rPr>
          <w:rFonts w:hint="default" w:ascii="Times New Roman" w:hAnsi="Times New Roman" w:eastAsia="方正仿宋_GBK" w:cs="Times New Roman"/>
          <w:spacing w:val="5"/>
          <w:sz w:val="32"/>
          <w:szCs w:val="32"/>
        </w:rPr>
        <w:t>网络申请、信函申</w:t>
      </w:r>
      <w:r>
        <w:rPr>
          <w:rFonts w:hint="default" w:ascii="Times New Roman" w:hAnsi="Times New Roman" w:eastAsia="方正仿宋_GBK" w:cs="Times New Roman"/>
          <w:spacing w:val="4"/>
          <w:sz w:val="32"/>
          <w:szCs w:val="32"/>
        </w:rPr>
        <w:t>请在内，县教育体育局未收到申请人提出的有关政府信息公开的</w:t>
      </w:r>
      <w:r>
        <w:rPr>
          <w:rFonts w:hint="default" w:ascii="Times New Roman" w:hAnsi="Times New Roman" w:eastAsia="方正仿宋_GBK" w:cs="Times New Roman"/>
          <w:spacing w:val="1"/>
          <w:sz w:val="32"/>
          <w:szCs w:val="32"/>
        </w:rPr>
        <w:t>申请。</w:t>
      </w:r>
    </w:p>
    <w:p w14:paraId="1E05AF7F">
      <w:pPr>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4" w:firstLineChars="200"/>
        <w:textAlignment w:val="baseline"/>
        <w:rPr>
          <w:rFonts w:hint="default" w:ascii="方正楷体_GBK" w:hAnsi="方正楷体_GBK" w:eastAsia="方正楷体_GBK" w:cs="方正楷体_GBK"/>
          <w:spacing w:val="1"/>
          <w:sz w:val="32"/>
          <w:szCs w:val="32"/>
        </w:rPr>
      </w:pPr>
      <w:r>
        <w:rPr>
          <w:rFonts w:hint="default" w:ascii="方正楷体_GBK" w:hAnsi="方正楷体_GBK" w:eastAsia="方正楷体_GBK" w:cs="方正楷体_GBK"/>
          <w:spacing w:val="1"/>
          <w:sz w:val="32"/>
          <w:szCs w:val="32"/>
        </w:rPr>
        <w:t>（四）因政府信息公开申请行政复议、提起行政诉讼的情况</w:t>
      </w:r>
    </w:p>
    <w:p w14:paraId="62111A70">
      <w:pPr>
        <w:pStyle w:val="2"/>
        <w:keepNext w:val="0"/>
        <w:keepLines w:val="0"/>
        <w:pageBreakBefore w:val="0"/>
        <w:widowControl/>
        <w:kinsoku w:val="0"/>
        <w:wordWrap/>
        <w:overflowPunct/>
        <w:topLinePunct w:val="0"/>
        <w:autoSpaceDE w:val="0"/>
        <w:autoSpaceDN w:val="0"/>
        <w:bidi w:val="0"/>
        <w:adjustRightInd w:val="0"/>
        <w:snapToGrid w:val="0"/>
        <w:spacing w:line="590" w:lineRule="exact"/>
        <w:ind w:left="0" w:right="0" w:firstLine="646"/>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4"/>
          <w:sz w:val="32"/>
          <w:szCs w:val="32"/>
        </w:rPr>
        <w:t>按照“七五”普法相关要求，华宁县教育体育局积极推进普</w:t>
      </w:r>
      <w:r>
        <w:rPr>
          <w:rFonts w:hint="default" w:ascii="Times New Roman" w:hAnsi="Times New Roman" w:eastAsia="方正仿宋_GBK" w:cs="Times New Roman"/>
          <w:spacing w:val="5"/>
          <w:sz w:val="32"/>
          <w:szCs w:val="32"/>
        </w:rPr>
        <w:t>法进机关、进学校工作，并将国务院年内新修订</w:t>
      </w:r>
      <w:r>
        <w:rPr>
          <w:rFonts w:hint="default" w:ascii="Times New Roman" w:hAnsi="Times New Roman" w:eastAsia="方正仿宋_GBK" w:cs="Times New Roman"/>
          <w:spacing w:val="4"/>
          <w:sz w:val="32"/>
          <w:szCs w:val="32"/>
        </w:rPr>
        <w:t>印发的《中华人民共和国政府信息公开条例</w:t>
      </w:r>
      <w:r>
        <w:rPr>
          <w:rFonts w:hint="default" w:ascii="Times New Roman" w:hAnsi="Times New Roman" w:eastAsia="方正仿宋_GBK" w:cs="Times New Roman"/>
          <w:spacing w:val="8"/>
          <w:sz w:val="32"/>
          <w:szCs w:val="32"/>
        </w:rPr>
        <w:t>》列入教职工学法用法清单，完善了学法用法制度。</w:t>
      </w:r>
      <w:r>
        <w:rPr>
          <w:rFonts w:hint="default" w:ascii="Times New Roman" w:hAnsi="Times New Roman" w:eastAsia="方正仿宋_GBK" w:cs="Times New Roman"/>
          <w:spacing w:val="4"/>
          <w:sz w:val="32"/>
          <w:szCs w:val="32"/>
        </w:rPr>
        <w:t>按照</w:t>
      </w:r>
      <w:r>
        <w:rPr>
          <w:rFonts w:hint="default" w:ascii="Times New Roman" w:hAnsi="Times New Roman" w:eastAsia="方正仿宋_GBK" w:cs="Times New Roman"/>
          <w:spacing w:val="-105"/>
          <w:sz w:val="32"/>
          <w:szCs w:val="32"/>
        </w:rPr>
        <w:t xml:space="preserve"> </w:t>
      </w:r>
      <w:r>
        <w:rPr>
          <w:rFonts w:hint="default" w:ascii="Times New Roman" w:hAnsi="Times New Roman" w:eastAsia="方正仿宋_GBK" w:cs="Times New Roman"/>
          <w:spacing w:val="4"/>
          <w:sz w:val="32"/>
          <w:szCs w:val="32"/>
        </w:rPr>
        <w:t>“依法公开，真实公正，及时准确，</w:t>
      </w:r>
      <w:r>
        <w:rPr>
          <w:rFonts w:hint="default" w:ascii="Times New Roman" w:hAnsi="Times New Roman" w:eastAsia="方正仿宋_GBK" w:cs="Times New Roman"/>
          <w:spacing w:val="-84"/>
          <w:sz w:val="32"/>
          <w:szCs w:val="32"/>
        </w:rPr>
        <w:t xml:space="preserve"> </w:t>
      </w:r>
      <w:r>
        <w:rPr>
          <w:rFonts w:hint="default" w:ascii="Times New Roman" w:hAnsi="Times New Roman" w:eastAsia="方正仿宋_GBK" w:cs="Times New Roman"/>
          <w:spacing w:val="4"/>
          <w:sz w:val="32"/>
          <w:szCs w:val="32"/>
        </w:rPr>
        <w:t>内外</w:t>
      </w:r>
      <w:r>
        <w:rPr>
          <w:rFonts w:hint="default" w:ascii="Times New Roman" w:hAnsi="Times New Roman" w:eastAsia="方正仿宋_GBK" w:cs="Times New Roman"/>
          <w:spacing w:val="3"/>
          <w:sz w:val="32"/>
          <w:szCs w:val="32"/>
        </w:rPr>
        <w:t>并重，方便群众，</w:t>
      </w:r>
      <w:r>
        <w:rPr>
          <w:rFonts w:hint="default" w:ascii="Times New Roman" w:hAnsi="Times New Roman" w:eastAsia="方正仿宋_GBK" w:cs="Times New Roman"/>
          <w:spacing w:val="5"/>
          <w:sz w:val="32"/>
          <w:szCs w:val="32"/>
        </w:rPr>
        <w:t>有力监督”的原则，完善公开制度，健全工</w:t>
      </w:r>
      <w:r>
        <w:rPr>
          <w:rFonts w:hint="default" w:ascii="Times New Roman" w:hAnsi="Times New Roman" w:eastAsia="方正仿宋_GBK" w:cs="Times New Roman"/>
          <w:spacing w:val="4"/>
          <w:sz w:val="32"/>
          <w:szCs w:val="32"/>
        </w:rPr>
        <w:t>作机制，深化公开内</w:t>
      </w:r>
      <w:r>
        <w:rPr>
          <w:rFonts w:hint="default" w:ascii="Times New Roman" w:hAnsi="Times New Roman" w:eastAsia="方正仿宋_GBK" w:cs="Times New Roman"/>
          <w:spacing w:val="5"/>
          <w:sz w:val="32"/>
          <w:szCs w:val="32"/>
        </w:rPr>
        <w:t>容，丰富公开载体，做到了依法、及时、准确、有序公</w:t>
      </w:r>
      <w:r>
        <w:rPr>
          <w:rFonts w:hint="default" w:ascii="Times New Roman" w:hAnsi="Times New Roman" w:eastAsia="方正仿宋_GBK" w:cs="Times New Roman"/>
          <w:spacing w:val="4"/>
          <w:sz w:val="32"/>
          <w:szCs w:val="32"/>
        </w:rPr>
        <w:t>开，方便</w:t>
      </w:r>
      <w:r>
        <w:rPr>
          <w:rFonts w:hint="default" w:ascii="Times New Roman" w:hAnsi="Times New Roman" w:eastAsia="方正仿宋_GBK" w:cs="Times New Roman"/>
          <w:spacing w:val="-3"/>
          <w:sz w:val="32"/>
          <w:szCs w:val="32"/>
        </w:rPr>
        <w:t>了公民。法人和其他组织获取教育信息，切实提高了工作透明度。</w:t>
      </w:r>
      <w:r>
        <w:rPr>
          <w:rFonts w:hint="default" w:ascii="Times New Roman" w:hAnsi="Times New Roman" w:eastAsia="方正仿宋_GBK" w:cs="Times New Roman"/>
          <w:spacing w:val="5"/>
          <w:sz w:val="32"/>
          <w:szCs w:val="32"/>
        </w:rPr>
        <w:t>严格信息的审查、发布等工作，坚持严格了的信息发布</w:t>
      </w:r>
      <w:r>
        <w:rPr>
          <w:rFonts w:hint="default" w:ascii="Times New Roman" w:hAnsi="Times New Roman" w:eastAsia="方正仿宋_GBK" w:cs="Times New Roman"/>
          <w:spacing w:val="4"/>
          <w:sz w:val="32"/>
          <w:szCs w:val="32"/>
        </w:rPr>
        <w:t>流程，杜</w:t>
      </w:r>
      <w:r>
        <w:rPr>
          <w:rFonts w:hint="default" w:ascii="Times New Roman" w:hAnsi="Times New Roman" w:eastAsia="方正仿宋_GBK" w:cs="Times New Roman"/>
          <w:spacing w:val="8"/>
          <w:sz w:val="32"/>
          <w:szCs w:val="32"/>
        </w:rPr>
        <w:t>绝虚假信息和不完整信息的发布，确保网上发布信息内容完整、</w:t>
      </w:r>
      <w:r>
        <w:rPr>
          <w:rFonts w:hint="default" w:ascii="Times New Roman" w:hAnsi="Times New Roman" w:eastAsia="方正仿宋_GBK" w:cs="Times New Roman"/>
          <w:spacing w:val="9"/>
          <w:sz w:val="32"/>
          <w:szCs w:val="32"/>
        </w:rPr>
        <w:t>格式规范、</w:t>
      </w:r>
      <w:r>
        <w:rPr>
          <w:rFonts w:hint="default" w:ascii="Times New Roman" w:hAnsi="Times New Roman" w:eastAsia="方正仿宋_GBK" w:cs="Times New Roman"/>
          <w:spacing w:val="-74"/>
          <w:sz w:val="32"/>
          <w:szCs w:val="32"/>
        </w:rPr>
        <w:t xml:space="preserve"> </w:t>
      </w:r>
      <w:r>
        <w:rPr>
          <w:rFonts w:hint="default" w:ascii="Times New Roman" w:hAnsi="Times New Roman" w:eastAsia="方正仿宋_GBK" w:cs="Times New Roman"/>
          <w:spacing w:val="9"/>
          <w:sz w:val="32"/>
          <w:szCs w:val="32"/>
        </w:rPr>
        <w:t>归类准确，便于公众查询和阅读。2020</w:t>
      </w:r>
      <w:r>
        <w:rPr>
          <w:rFonts w:hint="default" w:ascii="Times New Roman" w:hAnsi="Times New Roman" w:eastAsia="方正仿宋_GBK" w:cs="Times New Roman"/>
          <w:spacing w:val="-56"/>
          <w:sz w:val="32"/>
          <w:szCs w:val="32"/>
        </w:rPr>
        <w:t xml:space="preserve"> </w:t>
      </w:r>
      <w:r>
        <w:rPr>
          <w:rFonts w:hint="default" w:ascii="Times New Roman" w:hAnsi="Times New Roman" w:eastAsia="方正仿宋_GBK" w:cs="Times New Roman"/>
          <w:spacing w:val="9"/>
          <w:sz w:val="32"/>
          <w:szCs w:val="32"/>
        </w:rPr>
        <w:t>年度县教育</w:t>
      </w:r>
      <w:r>
        <w:rPr>
          <w:rFonts w:hint="default" w:ascii="Times New Roman" w:hAnsi="Times New Roman" w:eastAsia="方正仿宋_GBK" w:cs="Times New Roman"/>
          <w:spacing w:val="7"/>
          <w:sz w:val="32"/>
          <w:szCs w:val="32"/>
        </w:rPr>
        <w:t>体育局没有因政府信息公开申请行政复议、提起行政诉讼情况。</w:t>
      </w:r>
    </w:p>
    <w:p w14:paraId="7EFA0EC1">
      <w:pPr>
        <w:spacing w:before="41"/>
        <w:ind w:left="132"/>
        <w:rPr>
          <w:rFonts w:hint="eastAsia" w:ascii="方正黑体_GBK" w:hAnsi="方正黑体_GBK" w:eastAsia="方正黑体_GBK" w:cs="方正黑体_GBK"/>
          <w:snapToGrid w:val="0"/>
          <w:color w:val="000000"/>
          <w:spacing w:val="8"/>
          <w:kern w:val="0"/>
          <w:sz w:val="32"/>
          <w:szCs w:val="32"/>
          <w:lang w:val="en-US" w:eastAsia="en-US" w:bidi="ar-SA"/>
        </w:rPr>
      </w:pPr>
      <w:r>
        <w:rPr>
          <w:rFonts w:hint="eastAsia" w:ascii="方正黑体_GBK" w:hAnsi="方正黑体_GBK" w:eastAsia="方正黑体_GBK" w:cs="方正黑体_GBK"/>
          <w:snapToGrid w:val="0"/>
          <w:color w:val="000000"/>
          <w:spacing w:val="8"/>
          <w:kern w:val="0"/>
          <w:sz w:val="32"/>
          <w:szCs w:val="32"/>
          <w:lang w:val="en-US" w:eastAsia="en-US" w:bidi="ar-SA"/>
        </w:rPr>
        <w:t>二、主动公开政府信息情况</w:t>
      </w:r>
    </w:p>
    <w:tbl>
      <w:tblPr>
        <w:tblStyle w:val="5"/>
        <w:tblW w:w="907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6"/>
        <w:gridCol w:w="3468"/>
        <w:gridCol w:w="2088"/>
        <w:gridCol w:w="1411"/>
        <w:gridCol w:w="2091"/>
        <w:gridCol w:w="6"/>
      </w:tblGrid>
      <w:tr w14:paraId="03F91BE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gridAfter w:val="1"/>
          <w:wAfter w:w="6" w:type="dxa"/>
          <w:trHeight w:val="502" w:hRule="atLeast"/>
        </w:trPr>
        <w:tc>
          <w:tcPr>
            <w:tcW w:w="9064" w:type="dxa"/>
            <w:gridSpan w:val="5"/>
            <w:vAlign w:val="top"/>
          </w:tcPr>
          <w:p w14:paraId="32290838">
            <w:pPr>
              <w:spacing w:before="153" w:line="229" w:lineRule="auto"/>
              <w:ind w:left="3637"/>
              <w:rPr>
                <w:rFonts w:ascii="宋体" w:hAnsi="宋体" w:eastAsia="宋体" w:cs="宋体"/>
                <w:sz w:val="19"/>
                <w:szCs w:val="19"/>
              </w:rPr>
            </w:pPr>
            <w:r>
              <w:rPr>
                <w:rFonts w:ascii="宋体" w:hAnsi="宋体" w:eastAsia="宋体" w:cs="宋体"/>
                <w:spacing w:val="9"/>
                <w:sz w:val="19"/>
                <w:szCs w:val="19"/>
              </w:rPr>
              <w:t>第二十条第（一）项</w:t>
            </w:r>
          </w:p>
        </w:tc>
      </w:tr>
      <w:tr w14:paraId="64A52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891" w:hRule="atLeast"/>
        </w:trPr>
        <w:tc>
          <w:tcPr>
            <w:tcW w:w="3468" w:type="dxa"/>
            <w:tcBorders>
              <w:top w:val="nil"/>
            </w:tcBorders>
            <w:vAlign w:val="top"/>
          </w:tcPr>
          <w:p w14:paraId="4D662705">
            <w:pPr>
              <w:spacing w:line="284" w:lineRule="auto"/>
              <w:rPr>
                <w:rFonts w:ascii="Arial"/>
                <w:sz w:val="21"/>
              </w:rPr>
            </w:pPr>
          </w:p>
          <w:p w14:paraId="51ABADC6">
            <w:pPr>
              <w:pStyle w:val="6"/>
              <w:spacing w:before="61" w:line="229" w:lineRule="auto"/>
              <w:ind w:left="1340"/>
            </w:pPr>
            <w:r>
              <w:rPr>
                <w:spacing w:val="7"/>
              </w:rPr>
              <w:t>信息内容</w:t>
            </w:r>
          </w:p>
        </w:tc>
        <w:tc>
          <w:tcPr>
            <w:tcW w:w="2088" w:type="dxa"/>
            <w:vAlign w:val="top"/>
          </w:tcPr>
          <w:p w14:paraId="05775F69">
            <w:pPr>
              <w:pStyle w:val="6"/>
              <w:spacing w:before="192" w:line="288" w:lineRule="auto"/>
              <w:ind w:left="647" w:right="645" w:firstLine="100"/>
            </w:pPr>
            <w:r>
              <w:rPr>
                <w:spacing w:val="7"/>
              </w:rPr>
              <w:t>本年新</w:t>
            </w:r>
            <w:r>
              <w:t xml:space="preserve">  </w:t>
            </w:r>
            <w:r>
              <w:rPr>
                <w:spacing w:val="7"/>
              </w:rPr>
              <w:t>制作数量</w:t>
            </w:r>
          </w:p>
        </w:tc>
        <w:tc>
          <w:tcPr>
            <w:tcW w:w="1411" w:type="dxa"/>
            <w:vAlign w:val="top"/>
          </w:tcPr>
          <w:p w14:paraId="32593014">
            <w:pPr>
              <w:pStyle w:val="6"/>
              <w:spacing w:before="192" w:line="288" w:lineRule="auto"/>
              <w:ind w:left="316" w:right="304" w:firstLine="95"/>
            </w:pPr>
            <w:r>
              <w:rPr>
                <w:spacing w:val="7"/>
              </w:rPr>
              <w:t>本年新</w:t>
            </w:r>
            <w:r>
              <w:t xml:space="preserve">  </w:t>
            </w:r>
            <w:r>
              <w:rPr>
                <w:spacing w:val="6"/>
              </w:rPr>
              <w:t>公开数量</w:t>
            </w:r>
          </w:p>
        </w:tc>
        <w:tc>
          <w:tcPr>
            <w:tcW w:w="2097" w:type="dxa"/>
            <w:gridSpan w:val="2"/>
            <w:tcBorders>
              <w:top w:val="nil"/>
            </w:tcBorders>
            <w:vAlign w:val="top"/>
          </w:tcPr>
          <w:p w14:paraId="1971A2C2">
            <w:pPr>
              <w:spacing w:line="284" w:lineRule="auto"/>
              <w:rPr>
                <w:rFonts w:ascii="Arial"/>
                <w:sz w:val="21"/>
              </w:rPr>
            </w:pPr>
          </w:p>
          <w:p w14:paraId="71A3D0CF">
            <w:pPr>
              <w:pStyle w:val="6"/>
              <w:spacing w:before="61" w:line="229" w:lineRule="auto"/>
              <w:ind w:left="353"/>
            </w:pPr>
            <w:r>
              <w:rPr>
                <w:spacing w:val="8"/>
              </w:rPr>
              <w:t>对外公开总数量</w:t>
            </w:r>
          </w:p>
        </w:tc>
      </w:tr>
      <w:tr w14:paraId="2E44A4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528" w:hRule="atLeast"/>
        </w:trPr>
        <w:tc>
          <w:tcPr>
            <w:tcW w:w="3468" w:type="dxa"/>
            <w:vAlign w:val="top"/>
          </w:tcPr>
          <w:p w14:paraId="382B2146">
            <w:pPr>
              <w:pStyle w:val="6"/>
              <w:spacing w:before="162" w:line="228" w:lineRule="auto"/>
              <w:ind w:left="117"/>
            </w:pPr>
            <w:r>
              <w:rPr>
                <w:spacing w:val="4"/>
              </w:rPr>
              <w:t>规章</w:t>
            </w:r>
          </w:p>
        </w:tc>
        <w:tc>
          <w:tcPr>
            <w:tcW w:w="2088" w:type="dxa"/>
            <w:vAlign w:val="top"/>
          </w:tcPr>
          <w:p w14:paraId="26D09055">
            <w:pPr>
              <w:pStyle w:val="6"/>
              <w:spacing w:before="193" w:line="189" w:lineRule="auto"/>
              <w:ind w:left="314"/>
            </w:pPr>
            <w:r>
              <w:t>0</w:t>
            </w:r>
          </w:p>
        </w:tc>
        <w:tc>
          <w:tcPr>
            <w:tcW w:w="1411" w:type="dxa"/>
            <w:vAlign w:val="top"/>
          </w:tcPr>
          <w:p w14:paraId="4F49B381">
            <w:pPr>
              <w:pStyle w:val="6"/>
              <w:spacing w:before="193" w:line="189" w:lineRule="auto"/>
              <w:ind w:left="163"/>
            </w:pPr>
            <w:r>
              <w:t>0</w:t>
            </w:r>
          </w:p>
        </w:tc>
        <w:tc>
          <w:tcPr>
            <w:tcW w:w="2097" w:type="dxa"/>
            <w:gridSpan w:val="2"/>
            <w:vAlign w:val="top"/>
          </w:tcPr>
          <w:p w14:paraId="006F8116">
            <w:pPr>
              <w:pStyle w:val="6"/>
              <w:spacing w:before="193" w:line="189" w:lineRule="auto"/>
              <w:ind w:left="317"/>
            </w:pPr>
            <w:r>
              <w:t>0</w:t>
            </w:r>
          </w:p>
        </w:tc>
      </w:tr>
      <w:tr w14:paraId="3538F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476" w:hRule="atLeast"/>
        </w:trPr>
        <w:tc>
          <w:tcPr>
            <w:tcW w:w="3468" w:type="dxa"/>
            <w:vAlign w:val="top"/>
          </w:tcPr>
          <w:p w14:paraId="02A9A982">
            <w:pPr>
              <w:pStyle w:val="6"/>
              <w:spacing w:before="137" w:line="229" w:lineRule="auto"/>
              <w:ind w:left="117"/>
            </w:pPr>
            <w:r>
              <w:rPr>
                <w:spacing w:val="7"/>
              </w:rPr>
              <w:t>规范性文件</w:t>
            </w:r>
          </w:p>
        </w:tc>
        <w:tc>
          <w:tcPr>
            <w:tcW w:w="2088" w:type="dxa"/>
            <w:vAlign w:val="top"/>
          </w:tcPr>
          <w:p w14:paraId="51E10438">
            <w:pPr>
              <w:pStyle w:val="6"/>
              <w:spacing w:before="169" w:line="189" w:lineRule="auto"/>
              <w:ind w:left="314"/>
            </w:pPr>
            <w:r>
              <w:t>0</w:t>
            </w:r>
          </w:p>
        </w:tc>
        <w:tc>
          <w:tcPr>
            <w:tcW w:w="1411" w:type="dxa"/>
            <w:vAlign w:val="top"/>
          </w:tcPr>
          <w:p w14:paraId="02056140">
            <w:pPr>
              <w:pStyle w:val="6"/>
              <w:spacing w:before="169" w:line="189" w:lineRule="auto"/>
              <w:ind w:left="163"/>
            </w:pPr>
            <w:r>
              <w:t>0</w:t>
            </w:r>
          </w:p>
        </w:tc>
        <w:tc>
          <w:tcPr>
            <w:tcW w:w="2097" w:type="dxa"/>
            <w:gridSpan w:val="2"/>
            <w:vAlign w:val="top"/>
          </w:tcPr>
          <w:p w14:paraId="589C30B7">
            <w:pPr>
              <w:pStyle w:val="6"/>
              <w:spacing w:before="169" w:line="189" w:lineRule="auto"/>
              <w:ind w:left="317"/>
            </w:pPr>
            <w:r>
              <w:t>0</w:t>
            </w:r>
          </w:p>
        </w:tc>
      </w:tr>
      <w:tr w14:paraId="2D877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485" w:hRule="atLeast"/>
        </w:trPr>
        <w:tc>
          <w:tcPr>
            <w:tcW w:w="9064" w:type="dxa"/>
            <w:gridSpan w:val="5"/>
            <w:vAlign w:val="top"/>
          </w:tcPr>
          <w:p w14:paraId="356B6117">
            <w:pPr>
              <w:pStyle w:val="6"/>
              <w:spacing w:before="141" w:line="229" w:lineRule="auto"/>
              <w:ind w:left="3637"/>
            </w:pPr>
            <w:r>
              <w:rPr>
                <w:spacing w:val="9"/>
              </w:rPr>
              <w:t>第二十条第（五）项</w:t>
            </w:r>
          </w:p>
        </w:tc>
      </w:tr>
      <w:tr w14:paraId="49C87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638" w:hRule="atLeast"/>
        </w:trPr>
        <w:tc>
          <w:tcPr>
            <w:tcW w:w="3468" w:type="dxa"/>
            <w:vAlign w:val="top"/>
          </w:tcPr>
          <w:p w14:paraId="0CDF883F">
            <w:pPr>
              <w:pStyle w:val="6"/>
              <w:spacing w:before="218" w:line="229" w:lineRule="auto"/>
              <w:ind w:left="1340"/>
            </w:pPr>
            <w:r>
              <w:rPr>
                <w:spacing w:val="7"/>
              </w:rPr>
              <w:t>信息内容</w:t>
            </w:r>
          </w:p>
        </w:tc>
        <w:tc>
          <w:tcPr>
            <w:tcW w:w="2088" w:type="dxa"/>
            <w:vAlign w:val="top"/>
          </w:tcPr>
          <w:p w14:paraId="3B5361A7">
            <w:pPr>
              <w:pStyle w:val="6"/>
              <w:spacing w:before="218" w:line="229" w:lineRule="auto"/>
              <w:ind w:left="348"/>
            </w:pPr>
            <w:r>
              <w:rPr>
                <w:spacing w:val="8"/>
              </w:rPr>
              <w:t>上一年项目数量</w:t>
            </w:r>
          </w:p>
        </w:tc>
        <w:tc>
          <w:tcPr>
            <w:tcW w:w="1411" w:type="dxa"/>
            <w:vAlign w:val="top"/>
          </w:tcPr>
          <w:p w14:paraId="29E59567">
            <w:pPr>
              <w:pStyle w:val="6"/>
              <w:spacing w:before="218" w:line="228" w:lineRule="auto"/>
              <w:ind w:left="261"/>
            </w:pPr>
            <w:r>
              <w:rPr>
                <w:spacing w:val="7"/>
              </w:rPr>
              <w:t>本年增/减</w:t>
            </w:r>
          </w:p>
        </w:tc>
        <w:tc>
          <w:tcPr>
            <w:tcW w:w="2097" w:type="dxa"/>
            <w:gridSpan w:val="2"/>
            <w:vAlign w:val="top"/>
          </w:tcPr>
          <w:p w14:paraId="0A6D0F24">
            <w:pPr>
              <w:pStyle w:val="6"/>
              <w:spacing w:before="218" w:line="229" w:lineRule="auto"/>
              <w:ind w:left="456"/>
            </w:pPr>
            <w:r>
              <w:rPr>
                <w:spacing w:val="8"/>
              </w:rPr>
              <w:t>处理决定数量</w:t>
            </w:r>
          </w:p>
        </w:tc>
      </w:tr>
      <w:tr w14:paraId="28A10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533" w:hRule="atLeast"/>
        </w:trPr>
        <w:tc>
          <w:tcPr>
            <w:tcW w:w="3468" w:type="dxa"/>
            <w:vAlign w:val="top"/>
          </w:tcPr>
          <w:p w14:paraId="7389A7EF">
            <w:pPr>
              <w:pStyle w:val="6"/>
              <w:spacing w:before="167" w:line="230" w:lineRule="auto"/>
              <w:ind w:left="119"/>
            </w:pPr>
            <w:r>
              <w:rPr>
                <w:spacing w:val="7"/>
              </w:rPr>
              <w:t>行政许可</w:t>
            </w:r>
          </w:p>
        </w:tc>
        <w:tc>
          <w:tcPr>
            <w:tcW w:w="2088" w:type="dxa"/>
            <w:vAlign w:val="top"/>
          </w:tcPr>
          <w:p w14:paraId="5D49EB54">
            <w:pPr>
              <w:pStyle w:val="6"/>
              <w:spacing w:before="199" w:line="189" w:lineRule="auto"/>
              <w:ind w:left="313"/>
            </w:pPr>
            <w:r>
              <w:t>9</w:t>
            </w:r>
          </w:p>
        </w:tc>
        <w:tc>
          <w:tcPr>
            <w:tcW w:w="1411" w:type="dxa"/>
            <w:vAlign w:val="top"/>
          </w:tcPr>
          <w:p w14:paraId="290D916D">
            <w:pPr>
              <w:pStyle w:val="6"/>
              <w:spacing w:before="199" w:line="189" w:lineRule="auto"/>
              <w:ind w:left="317"/>
            </w:pPr>
            <w:r>
              <w:t>0</w:t>
            </w:r>
          </w:p>
        </w:tc>
        <w:tc>
          <w:tcPr>
            <w:tcW w:w="2097" w:type="dxa"/>
            <w:gridSpan w:val="2"/>
            <w:vAlign w:val="top"/>
          </w:tcPr>
          <w:p w14:paraId="63351EAF">
            <w:pPr>
              <w:pStyle w:val="6"/>
              <w:spacing w:before="199" w:line="189" w:lineRule="auto"/>
              <w:ind w:left="317"/>
            </w:pPr>
            <w:r>
              <w:t>0</w:t>
            </w:r>
          </w:p>
        </w:tc>
      </w:tr>
      <w:tr w14:paraId="4FBBB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555" w:hRule="atLeast"/>
        </w:trPr>
        <w:tc>
          <w:tcPr>
            <w:tcW w:w="3468" w:type="dxa"/>
            <w:vAlign w:val="top"/>
          </w:tcPr>
          <w:p w14:paraId="5E9DA3A1">
            <w:pPr>
              <w:pStyle w:val="6"/>
              <w:spacing w:before="177" w:line="229" w:lineRule="auto"/>
              <w:ind w:left="117"/>
            </w:pPr>
            <w:r>
              <w:rPr>
                <w:spacing w:val="9"/>
              </w:rPr>
              <w:t>其他对外管理服务事项</w:t>
            </w:r>
          </w:p>
        </w:tc>
        <w:tc>
          <w:tcPr>
            <w:tcW w:w="2088" w:type="dxa"/>
            <w:vAlign w:val="top"/>
          </w:tcPr>
          <w:p w14:paraId="73690390">
            <w:pPr>
              <w:pStyle w:val="6"/>
              <w:spacing w:before="208" w:line="189" w:lineRule="auto"/>
              <w:ind w:left="315"/>
            </w:pPr>
            <w:r>
              <w:t>2</w:t>
            </w:r>
          </w:p>
        </w:tc>
        <w:tc>
          <w:tcPr>
            <w:tcW w:w="1411" w:type="dxa"/>
            <w:vAlign w:val="top"/>
          </w:tcPr>
          <w:p w14:paraId="39BB8F2D">
            <w:pPr>
              <w:pStyle w:val="6"/>
              <w:spacing w:before="208" w:line="189" w:lineRule="auto"/>
              <w:ind w:left="317"/>
            </w:pPr>
            <w:r>
              <w:t>0</w:t>
            </w:r>
          </w:p>
        </w:tc>
        <w:tc>
          <w:tcPr>
            <w:tcW w:w="2097" w:type="dxa"/>
            <w:gridSpan w:val="2"/>
            <w:vAlign w:val="top"/>
          </w:tcPr>
          <w:p w14:paraId="77D072A1">
            <w:pPr>
              <w:pStyle w:val="6"/>
              <w:spacing w:before="208" w:line="189" w:lineRule="auto"/>
              <w:ind w:left="317"/>
            </w:pPr>
            <w:r>
              <w:t>0</w:t>
            </w:r>
          </w:p>
        </w:tc>
      </w:tr>
      <w:tr w14:paraId="61ADE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411" w:hRule="atLeast"/>
        </w:trPr>
        <w:tc>
          <w:tcPr>
            <w:tcW w:w="9064" w:type="dxa"/>
            <w:gridSpan w:val="5"/>
            <w:vAlign w:val="top"/>
          </w:tcPr>
          <w:p w14:paraId="6C523A23">
            <w:pPr>
              <w:pStyle w:val="6"/>
              <w:spacing w:before="106" w:line="229" w:lineRule="auto"/>
              <w:ind w:left="3637"/>
            </w:pPr>
            <w:r>
              <w:rPr>
                <w:spacing w:val="9"/>
              </w:rPr>
              <w:t>第二十条第（六）项</w:t>
            </w:r>
          </w:p>
        </w:tc>
      </w:tr>
      <w:tr w14:paraId="3DF7FD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638" w:hRule="atLeast"/>
        </w:trPr>
        <w:tc>
          <w:tcPr>
            <w:tcW w:w="3468" w:type="dxa"/>
            <w:vAlign w:val="top"/>
          </w:tcPr>
          <w:p w14:paraId="4D01380B">
            <w:pPr>
              <w:pStyle w:val="6"/>
              <w:spacing w:before="218" w:line="229" w:lineRule="auto"/>
              <w:ind w:left="1340"/>
            </w:pPr>
            <w:r>
              <w:rPr>
                <w:spacing w:val="7"/>
              </w:rPr>
              <w:t>信息内容</w:t>
            </w:r>
          </w:p>
        </w:tc>
        <w:tc>
          <w:tcPr>
            <w:tcW w:w="2088" w:type="dxa"/>
            <w:vAlign w:val="top"/>
          </w:tcPr>
          <w:p w14:paraId="6FA7B82D">
            <w:pPr>
              <w:pStyle w:val="6"/>
              <w:spacing w:before="218" w:line="229" w:lineRule="auto"/>
              <w:ind w:left="348"/>
            </w:pPr>
            <w:r>
              <w:rPr>
                <w:spacing w:val="8"/>
              </w:rPr>
              <w:t>上一年项目数量</w:t>
            </w:r>
          </w:p>
        </w:tc>
        <w:tc>
          <w:tcPr>
            <w:tcW w:w="1411" w:type="dxa"/>
            <w:vAlign w:val="top"/>
          </w:tcPr>
          <w:p w14:paraId="4CA3CD6E">
            <w:pPr>
              <w:pStyle w:val="6"/>
              <w:spacing w:before="218" w:line="228" w:lineRule="auto"/>
              <w:ind w:left="261"/>
            </w:pPr>
            <w:r>
              <w:rPr>
                <w:spacing w:val="7"/>
              </w:rPr>
              <w:t>本年增/减</w:t>
            </w:r>
          </w:p>
        </w:tc>
        <w:tc>
          <w:tcPr>
            <w:tcW w:w="2097" w:type="dxa"/>
            <w:gridSpan w:val="2"/>
            <w:vAlign w:val="top"/>
          </w:tcPr>
          <w:p w14:paraId="159E45AD">
            <w:pPr>
              <w:pStyle w:val="6"/>
              <w:spacing w:before="218" w:line="229" w:lineRule="auto"/>
              <w:ind w:left="456"/>
            </w:pPr>
            <w:r>
              <w:rPr>
                <w:spacing w:val="8"/>
              </w:rPr>
              <w:t>处理决定数量</w:t>
            </w:r>
          </w:p>
        </w:tc>
      </w:tr>
      <w:tr w14:paraId="752C4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435" w:hRule="atLeast"/>
        </w:trPr>
        <w:tc>
          <w:tcPr>
            <w:tcW w:w="3468" w:type="dxa"/>
            <w:vAlign w:val="top"/>
          </w:tcPr>
          <w:p w14:paraId="644FB347">
            <w:pPr>
              <w:pStyle w:val="6"/>
              <w:spacing w:before="117" w:line="230" w:lineRule="auto"/>
              <w:ind w:left="119"/>
            </w:pPr>
            <w:r>
              <w:rPr>
                <w:spacing w:val="7"/>
              </w:rPr>
              <w:t>行政处罚</w:t>
            </w:r>
          </w:p>
        </w:tc>
        <w:tc>
          <w:tcPr>
            <w:tcW w:w="2088" w:type="dxa"/>
            <w:vAlign w:val="top"/>
          </w:tcPr>
          <w:p w14:paraId="1C27A4BE">
            <w:pPr>
              <w:pStyle w:val="6"/>
              <w:spacing w:before="148" w:line="190" w:lineRule="auto"/>
              <w:ind w:left="327"/>
            </w:pPr>
            <w:r>
              <w:rPr>
                <w:spacing w:val="-7"/>
              </w:rPr>
              <w:t>14</w:t>
            </w:r>
          </w:p>
        </w:tc>
        <w:tc>
          <w:tcPr>
            <w:tcW w:w="1411" w:type="dxa"/>
            <w:vAlign w:val="top"/>
          </w:tcPr>
          <w:p w14:paraId="2C20D4DB">
            <w:pPr>
              <w:pStyle w:val="6"/>
              <w:spacing w:before="149" w:line="189" w:lineRule="auto"/>
              <w:ind w:left="317"/>
            </w:pPr>
            <w:r>
              <w:t>0</w:t>
            </w:r>
          </w:p>
        </w:tc>
        <w:tc>
          <w:tcPr>
            <w:tcW w:w="2097" w:type="dxa"/>
            <w:gridSpan w:val="2"/>
            <w:vAlign w:val="top"/>
          </w:tcPr>
          <w:p w14:paraId="24BA5F46">
            <w:pPr>
              <w:pStyle w:val="6"/>
              <w:spacing w:before="149" w:line="189" w:lineRule="auto"/>
              <w:ind w:left="317"/>
            </w:pPr>
            <w:r>
              <w:t>0</w:t>
            </w:r>
          </w:p>
        </w:tc>
      </w:tr>
      <w:tr w14:paraId="6D971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414" w:hRule="atLeast"/>
        </w:trPr>
        <w:tc>
          <w:tcPr>
            <w:tcW w:w="3468" w:type="dxa"/>
            <w:vAlign w:val="top"/>
          </w:tcPr>
          <w:p w14:paraId="1DA07A33">
            <w:pPr>
              <w:pStyle w:val="6"/>
              <w:spacing w:before="107" w:line="230" w:lineRule="auto"/>
              <w:ind w:left="119"/>
            </w:pPr>
            <w:r>
              <w:rPr>
                <w:spacing w:val="7"/>
              </w:rPr>
              <w:t>行政强制</w:t>
            </w:r>
          </w:p>
        </w:tc>
        <w:tc>
          <w:tcPr>
            <w:tcW w:w="2088" w:type="dxa"/>
            <w:vAlign w:val="top"/>
          </w:tcPr>
          <w:p w14:paraId="36306595">
            <w:pPr>
              <w:pStyle w:val="6"/>
              <w:spacing w:before="139" w:line="189" w:lineRule="auto"/>
              <w:ind w:left="314"/>
            </w:pPr>
            <w:r>
              <w:t>0</w:t>
            </w:r>
          </w:p>
        </w:tc>
        <w:tc>
          <w:tcPr>
            <w:tcW w:w="1411" w:type="dxa"/>
            <w:vAlign w:val="top"/>
          </w:tcPr>
          <w:p w14:paraId="1A385916">
            <w:pPr>
              <w:pStyle w:val="6"/>
              <w:spacing w:before="139" w:line="189" w:lineRule="auto"/>
              <w:ind w:left="317"/>
            </w:pPr>
            <w:r>
              <w:t>0</w:t>
            </w:r>
          </w:p>
        </w:tc>
        <w:tc>
          <w:tcPr>
            <w:tcW w:w="2097" w:type="dxa"/>
            <w:gridSpan w:val="2"/>
            <w:vAlign w:val="top"/>
          </w:tcPr>
          <w:p w14:paraId="0C40240F">
            <w:pPr>
              <w:pStyle w:val="6"/>
              <w:spacing w:before="139" w:line="189" w:lineRule="auto"/>
              <w:ind w:left="317"/>
            </w:pPr>
            <w:r>
              <w:t>0</w:t>
            </w:r>
          </w:p>
        </w:tc>
      </w:tr>
      <w:tr w14:paraId="3DB49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479" w:hRule="atLeast"/>
        </w:trPr>
        <w:tc>
          <w:tcPr>
            <w:tcW w:w="9064" w:type="dxa"/>
            <w:gridSpan w:val="5"/>
            <w:vAlign w:val="top"/>
          </w:tcPr>
          <w:p w14:paraId="5DCC071F">
            <w:pPr>
              <w:pStyle w:val="6"/>
              <w:spacing w:before="139" w:line="229" w:lineRule="auto"/>
              <w:ind w:left="3637"/>
            </w:pPr>
            <w:r>
              <w:rPr>
                <w:spacing w:val="9"/>
              </w:rPr>
              <w:t>第二十条第（八）项</w:t>
            </w:r>
          </w:p>
        </w:tc>
      </w:tr>
      <w:tr w14:paraId="06857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317" w:hRule="atLeast"/>
        </w:trPr>
        <w:tc>
          <w:tcPr>
            <w:tcW w:w="3468" w:type="dxa"/>
            <w:vAlign w:val="top"/>
          </w:tcPr>
          <w:p w14:paraId="440C6B84">
            <w:pPr>
              <w:pStyle w:val="6"/>
              <w:spacing w:before="59" w:line="229" w:lineRule="auto"/>
              <w:ind w:left="1340"/>
            </w:pPr>
            <w:r>
              <w:rPr>
                <w:spacing w:val="7"/>
              </w:rPr>
              <w:t>信息内容</w:t>
            </w:r>
          </w:p>
        </w:tc>
        <w:tc>
          <w:tcPr>
            <w:tcW w:w="2088" w:type="dxa"/>
            <w:vAlign w:val="top"/>
          </w:tcPr>
          <w:p w14:paraId="4DFDA1E0">
            <w:pPr>
              <w:pStyle w:val="6"/>
              <w:spacing w:before="59" w:line="229" w:lineRule="auto"/>
              <w:ind w:left="113"/>
            </w:pPr>
            <w:r>
              <w:rPr>
                <w:spacing w:val="8"/>
              </w:rPr>
              <w:t>上一年项目数量</w:t>
            </w:r>
          </w:p>
        </w:tc>
        <w:tc>
          <w:tcPr>
            <w:tcW w:w="3508" w:type="dxa"/>
            <w:gridSpan w:val="3"/>
            <w:vAlign w:val="top"/>
          </w:tcPr>
          <w:p w14:paraId="1D8956DC">
            <w:pPr>
              <w:pStyle w:val="6"/>
              <w:spacing w:before="59" w:line="228" w:lineRule="auto"/>
              <w:ind w:left="1309"/>
            </w:pPr>
            <w:r>
              <w:rPr>
                <w:spacing w:val="7"/>
              </w:rPr>
              <w:t>本年增/减</w:t>
            </w:r>
          </w:p>
        </w:tc>
      </w:tr>
      <w:tr w14:paraId="59C5D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555" w:hRule="atLeast"/>
        </w:trPr>
        <w:tc>
          <w:tcPr>
            <w:tcW w:w="3468" w:type="dxa"/>
            <w:vAlign w:val="top"/>
          </w:tcPr>
          <w:p w14:paraId="239F8305">
            <w:pPr>
              <w:pStyle w:val="6"/>
              <w:spacing w:before="178" w:line="229" w:lineRule="auto"/>
              <w:ind w:left="119"/>
            </w:pPr>
            <w:r>
              <w:rPr>
                <w:spacing w:val="8"/>
              </w:rPr>
              <w:t>行政事业性收费</w:t>
            </w:r>
          </w:p>
        </w:tc>
        <w:tc>
          <w:tcPr>
            <w:tcW w:w="2088" w:type="dxa"/>
            <w:vAlign w:val="top"/>
          </w:tcPr>
          <w:p w14:paraId="57BA9DB0">
            <w:pPr>
              <w:pStyle w:val="6"/>
              <w:spacing w:before="210" w:line="189" w:lineRule="auto"/>
              <w:ind w:left="314"/>
            </w:pPr>
            <w:r>
              <w:t>0</w:t>
            </w:r>
          </w:p>
        </w:tc>
        <w:tc>
          <w:tcPr>
            <w:tcW w:w="3508" w:type="dxa"/>
            <w:gridSpan w:val="3"/>
            <w:vAlign w:val="top"/>
          </w:tcPr>
          <w:p w14:paraId="613176F3">
            <w:pPr>
              <w:pStyle w:val="6"/>
              <w:spacing w:before="210" w:line="189" w:lineRule="auto"/>
              <w:ind w:left="1685"/>
            </w:pPr>
            <w:r>
              <w:t>0</w:t>
            </w:r>
          </w:p>
        </w:tc>
      </w:tr>
      <w:tr w14:paraId="3CF29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481" w:hRule="atLeast"/>
        </w:trPr>
        <w:tc>
          <w:tcPr>
            <w:tcW w:w="9064" w:type="dxa"/>
            <w:gridSpan w:val="5"/>
            <w:vAlign w:val="top"/>
          </w:tcPr>
          <w:p w14:paraId="76389DAE">
            <w:pPr>
              <w:pStyle w:val="6"/>
              <w:spacing w:before="141" w:line="229" w:lineRule="auto"/>
              <w:ind w:left="3637"/>
            </w:pPr>
            <w:r>
              <w:rPr>
                <w:spacing w:val="9"/>
              </w:rPr>
              <w:t>第二十条第（九）项</w:t>
            </w:r>
          </w:p>
        </w:tc>
      </w:tr>
      <w:tr w14:paraId="5C3D1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589" w:hRule="atLeast"/>
        </w:trPr>
        <w:tc>
          <w:tcPr>
            <w:tcW w:w="3468" w:type="dxa"/>
            <w:vAlign w:val="top"/>
          </w:tcPr>
          <w:p w14:paraId="5A83EBB2">
            <w:pPr>
              <w:pStyle w:val="6"/>
              <w:spacing w:before="195" w:line="229" w:lineRule="auto"/>
              <w:ind w:left="1340"/>
            </w:pPr>
            <w:r>
              <w:rPr>
                <w:spacing w:val="7"/>
              </w:rPr>
              <w:t>信息内容</w:t>
            </w:r>
          </w:p>
        </w:tc>
        <w:tc>
          <w:tcPr>
            <w:tcW w:w="2088" w:type="dxa"/>
            <w:vAlign w:val="top"/>
          </w:tcPr>
          <w:p w14:paraId="682004B7">
            <w:pPr>
              <w:pStyle w:val="6"/>
              <w:spacing w:before="196" w:line="228" w:lineRule="auto"/>
              <w:ind w:left="449"/>
            </w:pPr>
            <w:r>
              <w:rPr>
                <w:spacing w:val="8"/>
              </w:rPr>
              <w:t>采购项目数量</w:t>
            </w:r>
          </w:p>
        </w:tc>
        <w:tc>
          <w:tcPr>
            <w:tcW w:w="3508" w:type="dxa"/>
            <w:gridSpan w:val="3"/>
            <w:vAlign w:val="top"/>
          </w:tcPr>
          <w:p w14:paraId="06045A13">
            <w:pPr>
              <w:pStyle w:val="6"/>
              <w:spacing w:before="196" w:line="228" w:lineRule="auto"/>
              <w:ind w:left="1257"/>
            </w:pPr>
            <w:r>
              <w:rPr>
                <w:spacing w:val="8"/>
              </w:rPr>
              <w:t>采购总金额</w:t>
            </w:r>
          </w:p>
        </w:tc>
      </w:tr>
      <w:tr w14:paraId="5F220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 w:type="dxa"/>
          <w:trHeight w:val="548" w:hRule="atLeast"/>
        </w:trPr>
        <w:tc>
          <w:tcPr>
            <w:tcW w:w="3468" w:type="dxa"/>
            <w:vAlign w:val="top"/>
          </w:tcPr>
          <w:p w14:paraId="2F831543">
            <w:pPr>
              <w:pStyle w:val="6"/>
              <w:spacing w:before="175" w:line="228" w:lineRule="auto"/>
              <w:ind w:left="115"/>
            </w:pPr>
            <w:r>
              <w:rPr>
                <w:spacing w:val="8"/>
              </w:rPr>
              <w:t>政府集中采购</w:t>
            </w:r>
          </w:p>
        </w:tc>
        <w:tc>
          <w:tcPr>
            <w:tcW w:w="2088" w:type="dxa"/>
            <w:vAlign w:val="top"/>
          </w:tcPr>
          <w:p w14:paraId="0C3E4716">
            <w:pPr>
              <w:rPr>
                <w:rFonts w:ascii="Arial"/>
                <w:sz w:val="21"/>
              </w:rPr>
            </w:pPr>
          </w:p>
        </w:tc>
        <w:tc>
          <w:tcPr>
            <w:tcW w:w="3508" w:type="dxa"/>
            <w:gridSpan w:val="3"/>
            <w:vAlign w:val="top"/>
          </w:tcPr>
          <w:p w14:paraId="10061340">
            <w:pPr>
              <w:rPr>
                <w:rFonts w:ascii="Arial"/>
                <w:sz w:val="21"/>
              </w:rPr>
            </w:pPr>
          </w:p>
        </w:tc>
      </w:tr>
    </w:tbl>
    <w:p w14:paraId="057E616E">
      <w:pPr>
        <w:spacing w:before="185" w:line="241" w:lineRule="auto"/>
        <w:ind w:left="143"/>
        <w:rPr>
          <w:rFonts w:ascii="黑体" w:hAnsi="黑体" w:eastAsia="黑体" w:cs="黑体"/>
          <w:sz w:val="31"/>
          <w:szCs w:val="31"/>
        </w:rPr>
      </w:pPr>
      <w:r>
        <w:rPr>
          <w:rFonts w:hint="eastAsia" w:ascii="方正黑体_GBK" w:hAnsi="方正黑体_GBK" w:eastAsia="方正黑体_GBK" w:cs="方正黑体_GBK"/>
          <w:snapToGrid w:val="0"/>
          <w:color w:val="000000"/>
          <w:spacing w:val="8"/>
          <w:kern w:val="0"/>
          <w:sz w:val="32"/>
          <w:szCs w:val="32"/>
          <w:lang w:val="en-US" w:eastAsia="en-US" w:bidi="ar-SA"/>
        </w:rPr>
        <w:t>三、收到和处理政府信息公开申请情况</w:t>
      </w:r>
    </w:p>
    <w:tbl>
      <w:tblPr>
        <w:tblStyle w:val="5"/>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8"/>
        <w:gridCol w:w="854"/>
        <w:gridCol w:w="2324"/>
        <w:gridCol w:w="630"/>
        <w:gridCol w:w="765"/>
        <w:gridCol w:w="765"/>
        <w:gridCol w:w="824"/>
        <w:gridCol w:w="989"/>
        <w:gridCol w:w="720"/>
        <w:gridCol w:w="706"/>
      </w:tblGrid>
      <w:tr w14:paraId="13BB4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1" w:hRule="atLeast"/>
        </w:trPr>
        <w:tc>
          <w:tcPr>
            <w:tcW w:w="3676" w:type="dxa"/>
            <w:gridSpan w:val="3"/>
            <w:vMerge w:val="restart"/>
            <w:tcBorders>
              <w:bottom w:val="nil"/>
            </w:tcBorders>
            <w:vAlign w:val="top"/>
          </w:tcPr>
          <w:p w14:paraId="0F270052">
            <w:pPr>
              <w:spacing w:line="321" w:lineRule="auto"/>
              <w:rPr>
                <w:rFonts w:ascii="Arial"/>
                <w:sz w:val="21"/>
              </w:rPr>
            </w:pPr>
          </w:p>
          <w:p w14:paraId="04698B25">
            <w:pPr>
              <w:pStyle w:val="6"/>
              <w:spacing w:before="62" w:line="288" w:lineRule="auto"/>
              <w:ind w:left="147" w:right="136" w:firstLine="6"/>
            </w:pPr>
            <w:r>
              <w:rPr>
                <w:spacing w:val="8"/>
              </w:rPr>
              <w:t>（本列数据的勾稽关系为：第一项加第</w:t>
            </w:r>
            <w:r>
              <w:rPr>
                <w:spacing w:val="13"/>
              </w:rPr>
              <w:t xml:space="preserve"> </w:t>
            </w:r>
            <w:r>
              <w:rPr>
                <w:spacing w:val="8"/>
              </w:rPr>
              <w:t>二项之和，等于第三项加第四项之和）</w:t>
            </w:r>
          </w:p>
        </w:tc>
        <w:tc>
          <w:tcPr>
            <w:tcW w:w="5399" w:type="dxa"/>
            <w:gridSpan w:val="7"/>
            <w:vAlign w:val="top"/>
          </w:tcPr>
          <w:p w14:paraId="2B9598BC">
            <w:pPr>
              <w:pStyle w:val="6"/>
              <w:spacing w:before="60" w:line="229" w:lineRule="auto"/>
              <w:ind w:left="2229"/>
            </w:pPr>
            <w:r>
              <w:rPr>
                <w:spacing w:val="2"/>
              </w:rPr>
              <w:t>申请人情况</w:t>
            </w:r>
          </w:p>
        </w:tc>
      </w:tr>
      <w:tr w14:paraId="511BC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3676" w:type="dxa"/>
            <w:gridSpan w:val="3"/>
            <w:vMerge w:val="continue"/>
            <w:tcBorders>
              <w:top w:val="nil"/>
              <w:bottom w:val="nil"/>
            </w:tcBorders>
            <w:vAlign w:val="top"/>
          </w:tcPr>
          <w:p w14:paraId="548AA857">
            <w:pPr>
              <w:rPr>
                <w:rFonts w:ascii="Arial"/>
                <w:sz w:val="21"/>
              </w:rPr>
            </w:pPr>
          </w:p>
        </w:tc>
        <w:tc>
          <w:tcPr>
            <w:tcW w:w="630" w:type="dxa"/>
            <w:vMerge w:val="restart"/>
            <w:tcBorders>
              <w:bottom w:val="nil"/>
            </w:tcBorders>
            <w:vAlign w:val="top"/>
          </w:tcPr>
          <w:p w14:paraId="1B9D5D3A">
            <w:pPr>
              <w:pStyle w:val="6"/>
              <w:spacing w:before="219" w:line="290" w:lineRule="auto"/>
              <w:ind w:left="222" w:right="113" w:hanging="69"/>
            </w:pPr>
            <w:r>
              <w:rPr>
                <w:spacing w:val="-12"/>
              </w:rPr>
              <w:t>自然</w:t>
            </w:r>
            <w:r>
              <w:t xml:space="preserve"> 人</w:t>
            </w:r>
          </w:p>
        </w:tc>
        <w:tc>
          <w:tcPr>
            <w:tcW w:w="4063" w:type="dxa"/>
            <w:gridSpan w:val="5"/>
            <w:vAlign w:val="top"/>
          </w:tcPr>
          <w:p w14:paraId="5A392783">
            <w:pPr>
              <w:pStyle w:val="6"/>
              <w:spacing w:before="58" w:line="230" w:lineRule="auto"/>
              <w:ind w:left="1337"/>
            </w:pPr>
            <w:r>
              <w:rPr>
                <w:spacing w:val="8"/>
              </w:rPr>
              <w:t>法人或其他组织</w:t>
            </w:r>
          </w:p>
        </w:tc>
        <w:tc>
          <w:tcPr>
            <w:tcW w:w="706" w:type="dxa"/>
            <w:vMerge w:val="restart"/>
            <w:tcBorders>
              <w:bottom w:val="nil"/>
            </w:tcBorders>
            <w:vAlign w:val="top"/>
          </w:tcPr>
          <w:p w14:paraId="40372856">
            <w:pPr>
              <w:spacing w:line="312" w:lineRule="auto"/>
              <w:rPr>
                <w:rFonts w:ascii="Arial"/>
                <w:sz w:val="21"/>
              </w:rPr>
            </w:pPr>
          </w:p>
          <w:p w14:paraId="578FEC87">
            <w:pPr>
              <w:pStyle w:val="6"/>
              <w:spacing w:before="62" w:line="230" w:lineRule="auto"/>
              <w:ind w:left="160"/>
            </w:pPr>
            <w:r>
              <w:rPr>
                <w:spacing w:val="4"/>
              </w:rPr>
              <w:t>总计</w:t>
            </w:r>
          </w:p>
        </w:tc>
      </w:tr>
      <w:tr w14:paraId="09234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3676" w:type="dxa"/>
            <w:gridSpan w:val="3"/>
            <w:vMerge w:val="continue"/>
            <w:tcBorders>
              <w:top w:val="nil"/>
            </w:tcBorders>
            <w:vAlign w:val="top"/>
          </w:tcPr>
          <w:p w14:paraId="25E93F50">
            <w:pPr>
              <w:rPr>
                <w:rFonts w:ascii="Arial"/>
                <w:sz w:val="21"/>
              </w:rPr>
            </w:pPr>
          </w:p>
        </w:tc>
        <w:tc>
          <w:tcPr>
            <w:tcW w:w="630" w:type="dxa"/>
            <w:vMerge w:val="continue"/>
            <w:tcBorders>
              <w:top w:val="nil"/>
            </w:tcBorders>
            <w:vAlign w:val="top"/>
          </w:tcPr>
          <w:p w14:paraId="45B83342">
            <w:pPr>
              <w:rPr>
                <w:rFonts w:ascii="Arial"/>
                <w:sz w:val="21"/>
              </w:rPr>
            </w:pPr>
          </w:p>
        </w:tc>
        <w:tc>
          <w:tcPr>
            <w:tcW w:w="765" w:type="dxa"/>
            <w:vAlign w:val="top"/>
          </w:tcPr>
          <w:p w14:paraId="5B12AC8D">
            <w:pPr>
              <w:pStyle w:val="6"/>
              <w:spacing w:before="58" w:line="272" w:lineRule="auto"/>
              <w:ind w:left="189" w:right="182"/>
            </w:pPr>
            <w:r>
              <w:rPr>
                <w:spacing w:val="3"/>
              </w:rPr>
              <w:t>商业</w:t>
            </w:r>
            <w:r>
              <w:t xml:space="preserve"> </w:t>
            </w:r>
            <w:r>
              <w:rPr>
                <w:spacing w:val="3"/>
              </w:rPr>
              <w:t>企业</w:t>
            </w:r>
          </w:p>
        </w:tc>
        <w:tc>
          <w:tcPr>
            <w:tcW w:w="765" w:type="dxa"/>
            <w:vAlign w:val="top"/>
          </w:tcPr>
          <w:p w14:paraId="7DD3B412">
            <w:pPr>
              <w:pStyle w:val="6"/>
              <w:spacing w:before="58" w:line="272" w:lineRule="auto"/>
              <w:ind w:left="186" w:right="182"/>
            </w:pPr>
            <w:r>
              <w:rPr>
                <w:spacing w:val="5"/>
              </w:rPr>
              <w:t>科研</w:t>
            </w:r>
            <w:r>
              <w:t xml:space="preserve"> </w:t>
            </w:r>
            <w:r>
              <w:rPr>
                <w:spacing w:val="5"/>
              </w:rPr>
              <w:t>机构</w:t>
            </w:r>
          </w:p>
        </w:tc>
        <w:tc>
          <w:tcPr>
            <w:tcW w:w="824" w:type="dxa"/>
            <w:vAlign w:val="top"/>
          </w:tcPr>
          <w:p w14:paraId="506876A3">
            <w:pPr>
              <w:pStyle w:val="6"/>
              <w:spacing w:before="58" w:line="272" w:lineRule="auto"/>
              <w:ind w:left="119" w:right="108"/>
            </w:pPr>
            <w:r>
              <w:rPr>
                <w:spacing w:val="6"/>
              </w:rPr>
              <w:t>社会公</w:t>
            </w:r>
            <w:r>
              <w:rPr>
                <w:spacing w:val="1"/>
              </w:rPr>
              <w:t xml:space="preserve"> </w:t>
            </w:r>
            <w:r>
              <w:rPr>
                <w:spacing w:val="6"/>
              </w:rPr>
              <w:t>益组织</w:t>
            </w:r>
          </w:p>
        </w:tc>
        <w:tc>
          <w:tcPr>
            <w:tcW w:w="989" w:type="dxa"/>
            <w:vAlign w:val="top"/>
          </w:tcPr>
          <w:p w14:paraId="320AE43B">
            <w:pPr>
              <w:pStyle w:val="6"/>
              <w:spacing w:before="58" w:line="272" w:lineRule="auto"/>
              <w:ind w:left="202" w:right="190"/>
            </w:pPr>
            <w:r>
              <w:rPr>
                <w:spacing w:val="7"/>
              </w:rPr>
              <w:t>法律服</w:t>
            </w:r>
            <w:r>
              <w:t xml:space="preserve"> </w:t>
            </w:r>
            <w:r>
              <w:rPr>
                <w:spacing w:val="6"/>
              </w:rPr>
              <w:t>务机构</w:t>
            </w:r>
          </w:p>
        </w:tc>
        <w:tc>
          <w:tcPr>
            <w:tcW w:w="720" w:type="dxa"/>
            <w:vAlign w:val="top"/>
          </w:tcPr>
          <w:p w14:paraId="238B60E9">
            <w:pPr>
              <w:pStyle w:val="6"/>
              <w:spacing w:before="214" w:line="230" w:lineRule="auto"/>
              <w:ind w:left="168"/>
            </w:pPr>
            <w:r>
              <w:rPr>
                <w:spacing w:val="4"/>
              </w:rPr>
              <w:t>其他</w:t>
            </w:r>
          </w:p>
        </w:tc>
        <w:tc>
          <w:tcPr>
            <w:tcW w:w="706" w:type="dxa"/>
            <w:vMerge w:val="continue"/>
            <w:tcBorders>
              <w:top w:val="nil"/>
            </w:tcBorders>
            <w:vAlign w:val="top"/>
          </w:tcPr>
          <w:p w14:paraId="11E02F28">
            <w:pPr>
              <w:rPr>
                <w:rFonts w:ascii="Arial"/>
                <w:sz w:val="21"/>
              </w:rPr>
            </w:pPr>
          </w:p>
        </w:tc>
      </w:tr>
      <w:tr w14:paraId="5ECB6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676" w:type="dxa"/>
            <w:gridSpan w:val="3"/>
            <w:vAlign w:val="top"/>
          </w:tcPr>
          <w:p w14:paraId="5CBF3D9C">
            <w:pPr>
              <w:pStyle w:val="6"/>
              <w:spacing w:before="136" w:line="228" w:lineRule="auto"/>
              <w:ind w:left="118"/>
            </w:pPr>
            <w:r>
              <w:rPr>
                <w:spacing w:val="9"/>
              </w:rPr>
              <w:t>一、本年新收政府信息公开申请数量</w:t>
            </w:r>
          </w:p>
        </w:tc>
        <w:tc>
          <w:tcPr>
            <w:tcW w:w="630" w:type="dxa"/>
            <w:vAlign w:val="top"/>
          </w:tcPr>
          <w:p w14:paraId="3F084033">
            <w:pPr>
              <w:spacing w:before="170" w:line="195" w:lineRule="auto"/>
              <w:ind w:left="295"/>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65" w:type="dxa"/>
            <w:vAlign w:val="top"/>
          </w:tcPr>
          <w:p w14:paraId="607487F6">
            <w:pPr>
              <w:spacing w:before="170" w:line="195" w:lineRule="auto"/>
              <w:ind w:left="361"/>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65" w:type="dxa"/>
            <w:vAlign w:val="top"/>
          </w:tcPr>
          <w:p w14:paraId="33636399">
            <w:pPr>
              <w:spacing w:before="170" w:line="195" w:lineRule="auto"/>
              <w:ind w:left="361"/>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824" w:type="dxa"/>
            <w:vAlign w:val="top"/>
          </w:tcPr>
          <w:p w14:paraId="12B02791">
            <w:pPr>
              <w:spacing w:before="170" w:line="195" w:lineRule="auto"/>
              <w:ind w:left="340"/>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989" w:type="dxa"/>
            <w:vAlign w:val="top"/>
          </w:tcPr>
          <w:p w14:paraId="5C526B52">
            <w:pPr>
              <w:spacing w:before="170" w:line="195" w:lineRule="auto"/>
              <w:ind w:left="426"/>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20" w:type="dxa"/>
            <w:vAlign w:val="top"/>
          </w:tcPr>
          <w:p w14:paraId="7727F895">
            <w:pPr>
              <w:spacing w:before="170" w:line="195" w:lineRule="auto"/>
              <w:ind w:left="291"/>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06" w:type="dxa"/>
            <w:vAlign w:val="top"/>
          </w:tcPr>
          <w:p w14:paraId="71F90C41">
            <w:pPr>
              <w:spacing w:before="170" w:line="195" w:lineRule="auto"/>
              <w:ind w:left="332"/>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r>
      <w:tr w14:paraId="01F66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3676" w:type="dxa"/>
            <w:gridSpan w:val="3"/>
            <w:vAlign w:val="top"/>
          </w:tcPr>
          <w:p w14:paraId="3CB2C896">
            <w:pPr>
              <w:pStyle w:val="6"/>
              <w:spacing w:before="133" w:line="228" w:lineRule="auto"/>
              <w:ind w:left="118"/>
            </w:pPr>
            <w:r>
              <w:rPr>
                <w:spacing w:val="9"/>
              </w:rPr>
              <w:t>二、上年结转政府信息公开申请数量</w:t>
            </w:r>
          </w:p>
        </w:tc>
        <w:tc>
          <w:tcPr>
            <w:tcW w:w="630" w:type="dxa"/>
            <w:vAlign w:val="top"/>
          </w:tcPr>
          <w:p w14:paraId="7A804DBD">
            <w:pPr>
              <w:spacing w:before="168" w:line="195" w:lineRule="auto"/>
              <w:ind w:left="244"/>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65" w:type="dxa"/>
            <w:vAlign w:val="top"/>
          </w:tcPr>
          <w:p w14:paraId="1CBFF826">
            <w:pPr>
              <w:spacing w:before="168" w:line="195" w:lineRule="auto"/>
              <w:ind w:left="361"/>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65" w:type="dxa"/>
            <w:vAlign w:val="top"/>
          </w:tcPr>
          <w:p w14:paraId="13A88767">
            <w:pPr>
              <w:spacing w:before="168" w:line="195" w:lineRule="auto"/>
              <w:ind w:left="361"/>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824" w:type="dxa"/>
            <w:vAlign w:val="top"/>
          </w:tcPr>
          <w:p w14:paraId="6B62A7E9">
            <w:pPr>
              <w:spacing w:before="168" w:line="195" w:lineRule="auto"/>
              <w:ind w:left="340"/>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989" w:type="dxa"/>
            <w:vAlign w:val="top"/>
          </w:tcPr>
          <w:p w14:paraId="62881380">
            <w:pPr>
              <w:spacing w:before="168" w:line="195" w:lineRule="auto"/>
              <w:ind w:left="426"/>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20" w:type="dxa"/>
            <w:vAlign w:val="top"/>
          </w:tcPr>
          <w:p w14:paraId="2613489A">
            <w:pPr>
              <w:spacing w:before="168" w:line="195" w:lineRule="auto"/>
              <w:ind w:left="291"/>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706" w:type="dxa"/>
            <w:vAlign w:val="top"/>
          </w:tcPr>
          <w:p w14:paraId="19DE1804">
            <w:pPr>
              <w:spacing w:before="168" w:line="195" w:lineRule="auto"/>
              <w:ind w:left="282"/>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r>
      <w:tr w14:paraId="1D820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restart"/>
            <w:tcBorders>
              <w:bottom w:val="nil"/>
            </w:tcBorders>
            <w:textDirection w:val="tbRlV"/>
            <w:vAlign w:val="top"/>
          </w:tcPr>
          <w:p w14:paraId="1754E84E">
            <w:pPr>
              <w:pStyle w:val="6"/>
              <w:spacing w:before="148" w:line="184" w:lineRule="auto"/>
              <w:ind w:left="70"/>
            </w:pPr>
            <w:r>
              <w:rPr>
                <w:spacing w:val="7"/>
              </w:rPr>
              <w:t>三</w:t>
            </w:r>
            <w:r>
              <w:rPr>
                <w:spacing w:val="28"/>
              </w:rPr>
              <w:t xml:space="preserve"> </w:t>
            </w:r>
            <w:r>
              <w:rPr>
                <w:spacing w:val="7"/>
                <w:position w:val="-5"/>
              </w:rPr>
              <w:t>、</w:t>
            </w:r>
            <w:r>
              <w:rPr>
                <w:spacing w:val="16"/>
                <w:position w:val="-5"/>
              </w:rPr>
              <w:t xml:space="preserve"> </w:t>
            </w:r>
            <w:r>
              <w:rPr>
                <w:spacing w:val="7"/>
              </w:rPr>
              <w:t>本</w:t>
            </w:r>
            <w:r>
              <w:rPr>
                <w:spacing w:val="17"/>
              </w:rPr>
              <w:t xml:space="preserve"> </w:t>
            </w:r>
            <w:r>
              <w:rPr>
                <w:spacing w:val="7"/>
              </w:rPr>
              <w:t>年</w:t>
            </w:r>
          </w:p>
        </w:tc>
        <w:tc>
          <w:tcPr>
            <w:tcW w:w="3178" w:type="dxa"/>
            <w:gridSpan w:val="2"/>
            <w:vAlign w:val="top"/>
          </w:tcPr>
          <w:p w14:paraId="2D052789">
            <w:pPr>
              <w:spacing w:before="60" w:line="235" w:lineRule="auto"/>
              <w:ind w:left="129"/>
              <w:rPr>
                <w:rFonts w:ascii="楷体" w:hAnsi="楷体" w:eastAsia="楷体" w:cs="楷体"/>
                <w:sz w:val="19"/>
                <w:szCs w:val="19"/>
              </w:rPr>
            </w:pPr>
            <w:r>
              <w:rPr>
                <w:rFonts w:ascii="楷体" w:hAnsi="楷体" w:eastAsia="楷体" w:cs="楷体"/>
                <w:spacing w:val="6"/>
                <w:sz w:val="19"/>
                <w:szCs w:val="19"/>
              </w:rPr>
              <w:t>（一）予以公开</w:t>
            </w:r>
          </w:p>
        </w:tc>
        <w:tc>
          <w:tcPr>
            <w:tcW w:w="630" w:type="dxa"/>
            <w:vAlign w:val="top"/>
          </w:tcPr>
          <w:p w14:paraId="40C43961">
            <w:pPr>
              <w:rPr>
                <w:rFonts w:ascii="Arial"/>
                <w:sz w:val="21"/>
              </w:rPr>
            </w:pPr>
          </w:p>
        </w:tc>
        <w:tc>
          <w:tcPr>
            <w:tcW w:w="765" w:type="dxa"/>
            <w:vAlign w:val="top"/>
          </w:tcPr>
          <w:p w14:paraId="4C223206">
            <w:pPr>
              <w:rPr>
                <w:rFonts w:ascii="Arial"/>
                <w:sz w:val="21"/>
              </w:rPr>
            </w:pPr>
          </w:p>
        </w:tc>
        <w:tc>
          <w:tcPr>
            <w:tcW w:w="765" w:type="dxa"/>
            <w:vAlign w:val="top"/>
          </w:tcPr>
          <w:p w14:paraId="72FB1329">
            <w:pPr>
              <w:rPr>
                <w:rFonts w:ascii="Arial"/>
                <w:sz w:val="21"/>
              </w:rPr>
            </w:pPr>
          </w:p>
        </w:tc>
        <w:tc>
          <w:tcPr>
            <w:tcW w:w="824" w:type="dxa"/>
            <w:vAlign w:val="top"/>
          </w:tcPr>
          <w:p w14:paraId="43E23737">
            <w:pPr>
              <w:rPr>
                <w:rFonts w:ascii="Arial"/>
                <w:sz w:val="21"/>
              </w:rPr>
            </w:pPr>
          </w:p>
        </w:tc>
        <w:tc>
          <w:tcPr>
            <w:tcW w:w="989" w:type="dxa"/>
            <w:vAlign w:val="top"/>
          </w:tcPr>
          <w:p w14:paraId="7B6260CE">
            <w:pPr>
              <w:rPr>
                <w:rFonts w:ascii="Arial"/>
                <w:sz w:val="21"/>
              </w:rPr>
            </w:pPr>
          </w:p>
        </w:tc>
        <w:tc>
          <w:tcPr>
            <w:tcW w:w="720" w:type="dxa"/>
            <w:vAlign w:val="top"/>
          </w:tcPr>
          <w:p w14:paraId="253450AE">
            <w:pPr>
              <w:rPr>
                <w:rFonts w:ascii="Arial"/>
                <w:sz w:val="21"/>
              </w:rPr>
            </w:pPr>
          </w:p>
        </w:tc>
        <w:tc>
          <w:tcPr>
            <w:tcW w:w="706" w:type="dxa"/>
            <w:vAlign w:val="top"/>
          </w:tcPr>
          <w:p w14:paraId="1E11A14A">
            <w:pPr>
              <w:rPr>
                <w:rFonts w:ascii="Arial"/>
                <w:sz w:val="21"/>
              </w:rPr>
            </w:pPr>
          </w:p>
        </w:tc>
      </w:tr>
      <w:tr w14:paraId="68F59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98" w:type="dxa"/>
            <w:vMerge w:val="continue"/>
            <w:tcBorders>
              <w:top w:val="nil"/>
              <w:bottom w:val="nil"/>
            </w:tcBorders>
            <w:textDirection w:val="tbRlV"/>
            <w:vAlign w:val="top"/>
          </w:tcPr>
          <w:p w14:paraId="3988FCBE">
            <w:pPr>
              <w:rPr>
                <w:rFonts w:ascii="Arial"/>
                <w:sz w:val="21"/>
              </w:rPr>
            </w:pPr>
          </w:p>
        </w:tc>
        <w:tc>
          <w:tcPr>
            <w:tcW w:w="3178" w:type="dxa"/>
            <w:gridSpan w:val="2"/>
            <w:vAlign w:val="top"/>
          </w:tcPr>
          <w:p w14:paraId="5D4716A4">
            <w:pPr>
              <w:spacing w:before="60" w:line="271" w:lineRule="auto"/>
              <w:ind w:left="114" w:right="105" w:firstLine="14"/>
              <w:rPr>
                <w:rFonts w:ascii="楷体" w:hAnsi="楷体" w:eastAsia="楷体" w:cs="楷体"/>
                <w:sz w:val="19"/>
                <w:szCs w:val="19"/>
              </w:rPr>
            </w:pPr>
            <w:r>
              <w:rPr>
                <w:rFonts w:ascii="楷体" w:hAnsi="楷体" w:eastAsia="楷体" w:cs="楷体"/>
                <w:spacing w:val="5"/>
                <w:sz w:val="19"/>
                <w:szCs w:val="19"/>
              </w:rPr>
              <w:t>（二）部分公开（区分处理的，只</w:t>
            </w:r>
            <w:r>
              <w:rPr>
                <w:rFonts w:ascii="楷体" w:hAnsi="楷体" w:eastAsia="楷体" w:cs="楷体"/>
                <w:spacing w:val="12"/>
                <w:sz w:val="19"/>
                <w:szCs w:val="19"/>
              </w:rPr>
              <w:t xml:space="preserve"> </w:t>
            </w:r>
            <w:r>
              <w:rPr>
                <w:rFonts w:ascii="楷体" w:hAnsi="楷体" w:eastAsia="楷体" w:cs="楷体"/>
                <w:spacing w:val="8"/>
                <w:sz w:val="19"/>
                <w:szCs w:val="19"/>
              </w:rPr>
              <w:t>计这一情形，不计其他情形）</w:t>
            </w:r>
          </w:p>
        </w:tc>
        <w:tc>
          <w:tcPr>
            <w:tcW w:w="630" w:type="dxa"/>
            <w:vAlign w:val="top"/>
          </w:tcPr>
          <w:p w14:paraId="53B56031">
            <w:pPr>
              <w:rPr>
                <w:rFonts w:ascii="Arial"/>
                <w:sz w:val="21"/>
              </w:rPr>
            </w:pPr>
          </w:p>
        </w:tc>
        <w:tc>
          <w:tcPr>
            <w:tcW w:w="765" w:type="dxa"/>
            <w:vAlign w:val="top"/>
          </w:tcPr>
          <w:p w14:paraId="4C357B1E">
            <w:pPr>
              <w:rPr>
                <w:rFonts w:ascii="Arial"/>
                <w:sz w:val="21"/>
              </w:rPr>
            </w:pPr>
          </w:p>
        </w:tc>
        <w:tc>
          <w:tcPr>
            <w:tcW w:w="765" w:type="dxa"/>
            <w:vAlign w:val="top"/>
          </w:tcPr>
          <w:p w14:paraId="242A923D">
            <w:pPr>
              <w:rPr>
                <w:rFonts w:ascii="Arial"/>
                <w:sz w:val="21"/>
              </w:rPr>
            </w:pPr>
          </w:p>
        </w:tc>
        <w:tc>
          <w:tcPr>
            <w:tcW w:w="824" w:type="dxa"/>
            <w:vAlign w:val="top"/>
          </w:tcPr>
          <w:p w14:paraId="795DE661">
            <w:pPr>
              <w:rPr>
                <w:rFonts w:ascii="Arial"/>
                <w:sz w:val="21"/>
              </w:rPr>
            </w:pPr>
          </w:p>
        </w:tc>
        <w:tc>
          <w:tcPr>
            <w:tcW w:w="989" w:type="dxa"/>
            <w:vAlign w:val="top"/>
          </w:tcPr>
          <w:p w14:paraId="6A4E641A">
            <w:pPr>
              <w:rPr>
                <w:rFonts w:ascii="Arial"/>
                <w:sz w:val="21"/>
              </w:rPr>
            </w:pPr>
          </w:p>
        </w:tc>
        <w:tc>
          <w:tcPr>
            <w:tcW w:w="720" w:type="dxa"/>
            <w:vAlign w:val="top"/>
          </w:tcPr>
          <w:p w14:paraId="1D6BB3A4">
            <w:pPr>
              <w:rPr>
                <w:rFonts w:ascii="Arial"/>
                <w:sz w:val="21"/>
              </w:rPr>
            </w:pPr>
          </w:p>
        </w:tc>
        <w:tc>
          <w:tcPr>
            <w:tcW w:w="706" w:type="dxa"/>
            <w:vAlign w:val="top"/>
          </w:tcPr>
          <w:p w14:paraId="0828F4BA">
            <w:pPr>
              <w:rPr>
                <w:rFonts w:ascii="Arial"/>
                <w:sz w:val="21"/>
              </w:rPr>
            </w:pPr>
          </w:p>
        </w:tc>
      </w:tr>
      <w:tr w14:paraId="127E1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98" w:type="dxa"/>
            <w:vMerge w:val="continue"/>
            <w:tcBorders>
              <w:top w:val="nil"/>
            </w:tcBorders>
            <w:textDirection w:val="tbRlV"/>
            <w:vAlign w:val="top"/>
          </w:tcPr>
          <w:p w14:paraId="7910F22D">
            <w:pPr>
              <w:rPr>
                <w:rFonts w:ascii="Arial"/>
                <w:sz w:val="21"/>
              </w:rPr>
            </w:pPr>
          </w:p>
        </w:tc>
        <w:tc>
          <w:tcPr>
            <w:tcW w:w="854" w:type="dxa"/>
            <w:vAlign w:val="top"/>
          </w:tcPr>
          <w:p w14:paraId="56E91FB3">
            <w:pPr>
              <w:spacing w:before="63" w:line="239" w:lineRule="auto"/>
              <w:ind w:left="129"/>
              <w:rPr>
                <w:rFonts w:ascii="楷体" w:hAnsi="楷体" w:eastAsia="楷体" w:cs="楷体"/>
                <w:sz w:val="19"/>
                <w:szCs w:val="19"/>
              </w:rPr>
            </w:pPr>
            <w:r>
              <w:rPr>
                <w:rFonts w:ascii="楷体" w:hAnsi="楷体" w:eastAsia="楷体" w:cs="楷体"/>
                <w:spacing w:val="-3"/>
                <w:sz w:val="19"/>
                <w:szCs w:val="19"/>
              </w:rPr>
              <w:t>（三）</w:t>
            </w:r>
          </w:p>
        </w:tc>
        <w:tc>
          <w:tcPr>
            <w:tcW w:w="2324" w:type="dxa"/>
            <w:vAlign w:val="top"/>
          </w:tcPr>
          <w:p w14:paraId="35E0A2B5">
            <w:pPr>
              <w:spacing w:before="63" w:line="234" w:lineRule="auto"/>
              <w:ind w:left="122"/>
              <w:rPr>
                <w:rFonts w:ascii="楷体" w:hAnsi="楷体" w:eastAsia="楷体" w:cs="楷体"/>
                <w:sz w:val="19"/>
                <w:szCs w:val="19"/>
              </w:rPr>
            </w:pPr>
            <w:r>
              <w:rPr>
                <w:rFonts w:ascii="楷体" w:hAnsi="楷体" w:eastAsia="楷体" w:cs="楷体"/>
                <w:spacing w:val="6"/>
                <w:sz w:val="19"/>
                <w:szCs w:val="19"/>
              </w:rPr>
              <w:t>1.属于国家秘密</w:t>
            </w:r>
          </w:p>
        </w:tc>
        <w:tc>
          <w:tcPr>
            <w:tcW w:w="630" w:type="dxa"/>
            <w:vAlign w:val="top"/>
          </w:tcPr>
          <w:p w14:paraId="51423479">
            <w:pPr>
              <w:rPr>
                <w:rFonts w:ascii="Arial"/>
                <w:sz w:val="21"/>
              </w:rPr>
            </w:pPr>
          </w:p>
        </w:tc>
        <w:tc>
          <w:tcPr>
            <w:tcW w:w="765" w:type="dxa"/>
            <w:vAlign w:val="top"/>
          </w:tcPr>
          <w:p w14:paraId="1FFD299F">
            <w:pPr>
              <w:rPr>
                <w:rFonts w:ascii="Arial"/>
                <w:sz w:val="21"/>
              </w:rPr>
            </w:pPr>
          </w:p>
        </w:tc>
        <w:tc>
          <w:tcPr>
            <w:tcW w:w="765" w:type="dxa"/>
            <w:vAlign w:val="top"/>
          </w:tcPr>
          <w:p w14:paraId="3527F63C">
            <w:pPr>
              <w:rPr>
                <w:rFonts w:ascii="Arial"/>
                <w:sz w:val="21"/>
              </w:rPr>
            </w:pPr>
          </w:p>
        </w:tc>
        <w:tc>
          <w:tcPr>
            <w:tcW w:w="824" w:type="dxa"/>
            <w:vAlign w:val="top"/>
          </w:tcPr>
          <w:p w14:paraId="4D60F019">
            <w:pPr>
              <w:rPr>
                <w:rFonts w:ascii="Arial"/>
                <w:sz w:val="21"/>
              </w:rPr>
            </w:pPr>
          </w:p>
        </w:tc>
        <w:tc>
          <w:tcPr>
            <w:tcW w:w="989" w:type="dxa"/>
            <w:vAlign w:val="top"/>
          </w:tcPr>
          <w:p w14:paraId="7C310A7A">
            <w:pPr>
              <w:rPr>
                <w:rFonts w:ascii="Arial"/>
                <w:sz w:val="21"/>
              </w:rPr>
            </w:pPr>
          </w:p>
        </w:tc>
        <w:tc>
          <w:tcPr>
            <w:tcW w:w="720" w:type="dxa"/>
            <w:vAlign w:val="top"/>
          </w:tcPr>
          <w:p w14:paraId="127AF910">
            <w:pPr>
              <w:rPr>
                <w:rFonts w:ascii="Arial"/>
                <w:sz w:val="21"/>
              </w:rPr>
            </w:pPr>
          </w:p>
        </w:tc>
        <w:tc>
          <w:tcPr>
            <w:tcW w:w="706" w:type="dxa"/>
            <w:vAlign w:val="top"/>
          </w:tcPr>
          <w:p w14:paraId="5A9E047D">
            <w:pPr>
              <w:rPr>
                <w:rFonts w:ascii="Arial"/>
                <w:sz w:val="21"/>
              </w:rPr>
            </w:pPr>
          </w:p>
        </w:tc>
      </w:tr>
    </w:tbl>
    <w:p w14:paraId="76BAF5F2">
      <w:pPr>
        <w:spacing w:before="66" w:line="241" w:lineRule="auto"/>
        <w:ind w:left="434"/>
        <w:rPr>
          <w:rFonts w:ascii="宋体" w:hAnsi="宋体" w:eastAsia="宋体" w:cs="宋体"/>
          <w:sz w:val="28"/>
          <w:szCs w:val="28"/>
        </w:rPr>
      </w:pPr>
      <w:r>
        <w:rPr>
          <w:rFonts w:ascii="宋体" w:hAnsi="宋体" w:eastAsia="宋体" w:cs="宋体"/>
          <w:spacing w:val="19"/>
          <w:w w:val="116"/>
          <w:sz w:val="28"/>
          <w:szCs w:val="28"/>
        </w:rPr>
        <w:t>-</w:t>
      </w:r>
      <w:r>
        <w:rPr>
          <w:rFonts w:ascii="宋体" w:hAnsi="宋体" w:eastAsia="宋体" w:cs="宋体"/>
          <w:spacing w:val="47"/>
          <w:sz w:val="28"/>
          <w:szCs w:val="28"/>
        </w:rPr>
        <w:t xml:space="preserve"> </w:t>
      </w:r>
      <w:r>
        <w:rPr>
          <w:rFonts w:ascii="宋体" w:hAnsi="宋体" w:eastAsia="宋体" w:cs="宋体"/>
          <w:spacing w:val="19"/>
          <w:w w:val="116"/>
          <w:sz w:val="28"/>
          <w:szCs w:val="28"/>
        </w:rPr>
        <w:t>8</w:t>
      </w:r>
      <w:r>
        <w:rPr>
          <w:rFonts w:ascii="宋体" w:hAnsi="宋体" w:eastAsia="宋体" w:cs="宋体"/>
          <w:spacing w:val="37"/>
          <w:sz w:val="28"/>
          <w:szCs w:val="28"/>
        </w:rPr>
        <w:t xml:space="preserve"> </w:t>
      </w:r>
      <w:r>
        <w:rPr>
          <w:rFonts w:ascii="宋体" w:hAnsi="宋体" w:eastAsia="宋体" w:cs="宋体"/>
          <w:spacing w:val="19"/>
          <w:w w:val="116"/>
          <w:sz w:val="28"/>
          <w:szCs w:val="28"/>
        </w:rPr>
        <w:t>-</w:t>
      </w:r>
    </w:p>
    <w:p w14:paraId="151E2E3D">
      <w:pPr>
        <w:spacing w:line="241" w:lineRule="auto"/>
        <w:rPr>
          <w:rFonts w:ascii="宋体" w:hAnsi="宋体" w:eastAsia="宋体" w:cs="宋体"/>
          <w:sz w:val="28"/>
          <w:szCs w:val="28"/>
        </w:rPr>
        <w:sectPr>
          <w:footerReference r:id="rId5" w:type="default"/>
          <w:pgSz w:w="11906" w:h="16839"/>
          <w:pgMar w:top="1431" w:right="1356" w:bottom="400" w:left="1469" w:header="0" w:footer="0" w:gutter="0"/>
          <w:cols w:space="720" w:num="1"/>
        </w:sectPr>
      </w:pPr>
    </w:p>
    <w:p w14:paraId="1CABF7BF">
      <w:pPr>
        <w:spacing w:before="92"/>
      </w:pPr>
    </w:p>
    <w:p w14:paraId="06C4115C">
      <w:pPr>
        <w:spacing w:before="91"/>
      </w:pPr>
    </w:p>
    <w:tbl>
      <w:tblPr>
        <w:tblStyle w:val="5"/>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8"/>
        <w:gridCol w:w="854"/>
        <w:gridCol w:w="2324"/>
        <w:gridCol w:w="630"/>
        <w:gridCol w:w="765"/>
        <w:gridCol w:w="765"/>
        <w:gridCol w:w="824"/>
        <w:gridCol w:w="989"/>
        <w:gridCol w:w="720"/>
        <w:gridCol w:w="706"/>
      </w:tblGrid>
      <w:tr w14:paraId="7565D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498" w:type="dxa"/>
            <w:vMerge w:val="restart"/>
            <w:tcBorders>
              <w:top w:val="nil"/>
              <w:bottom w:val="nil"/>
            </w:tcBorders>
            <w:textDirection w:val="tbRlV"/>
            <w:vAlign w:val="top"/>
          </w:tcPr>
          <w:p w14:paraId="576988AA">
            <w:pPr>
              <w:pStyle w:val="6"/>
              <w:spacing w:before="147" w:line="217" w:lineRule="auto"/>
              <w:ind w:left="62"/>
            </w:pPr>
            <w:r>
              <w:rPr>
                <w:spacing w:val="9"/>
              </w:rPr>
              <w:t>度</w:t>
            </w:r>
            <w:r>
              <w:rPr>
                <w:spacing w:val="19"/>
              </w:rPr>
              <w:t xml:space="preserve"> </w:t>
            </w:r>
            <w:r>
              <w:rPr>
                <w:spacing w:val="9"/>
              </w:rPr>
              <w:t>办</w:t>
            </w:r>
            <w:r>
              <w:rPr>
                <w:spacing w:val="17"/>
              </w:rPr>
              <w:t xml:space="preserve"> </w:t>
            </w:r>
            <w:r>
              <w:rPr>
                <w:spacing w:val="9"/>
              </w:rPr>
              <w:t>理</w:t>
            </w:r>
            <w:r>
              <w:rPr>
                <w:spacing w:val="18"/>
              </w:rPr>
              <w:t xml:space="preserve"> </w:t>
            </w:r>
            <w:r>
              <w:rPr>
                <w:spacing w:val="9"/>
              </w:rPr>
              <w:t>结</w:t>
            </w:r>
            <w:r>
              <w:rPr>
                <w:spacing w:val="17"/>
              </w:rPr>
              <w:t xml:space="preserve"> </w:t>
            </w:r>
            <w:r>
              <w:rPr>
                <w:spacing w:val="9"/>
              </w:rPr>
              <w:t>果</w:t>
            </w:r>
          </w:p>
        </w:tc>
        <w:tc>
          <w:tcPr>
            <w:tcW w:w="854" w:type="dxa"/>
            <w:vMerge w:val="restart"/>
            <w:tcBorders>
              <w:top w:val="nil"/>
              <w:bottom w:val="nil"/>
            </w:tcBorders>
            <w:vAlign w:val="top"/>
          </w:tcPr>
          <w:p w14:paraId="4CBC0A34">
            <w:pPr>
              <w:spacing w:before="62" w:line="289" w:lineRule="auto"/>
              <w:ind w:left="113" w:right="145"/>
              <w:rPr>
                <w:rFonts w:ascii="楷体" w:hAnsi="楷体" w:eastAsia="楷体" w:cs="楷体"/>
                <w:sz w:val="19"/>
                <w:szCs w:val="19"/>
              </w:rPr>
            </w:pPr>
            <w:r>
              <w:rPr>
                <w:rFonts w:ascii="楷体" w:hAnsi="楷体" w:eastAsia="楷体" w:cs="楷体"/>
                <w:spacing w:val="6"/>
                <w:sz w:val="19"/>
                <w:szCs w:val="19"/>
              </w:rPr>
              <w:t>不予公</w:t>
            </w:r>
            <w:r>
              <w:rPr>
                <w:rFonts w:ascii="楷体" w:hAnsi="楷体" w:eastAsia="楷体" w:cs="楷体"/>
                <w:sz w:val="19"/>
                <w:szCs w:val="19"/>
              </w:rPr>
              <w:t xml:space="preserve"> 开</w:t>
            </w:r>
          </w:p>
        </w:tc>
        <w:tc>
          <w:tcPr>
            <w:tcW w:w="2324" w:type="dxa"/>
            <w:vAlign w:val="top"/>
          </w:tcPr>
          <w:p w14:paraId="5FF53D67">
            <w:pPr>
              <w:spacing w:before="63" w:line="272" w:lineRule="auto"/>
              <w:ind w:left="117" w:right="213" w:hanging="7"/>
              <w:rPr>
                <w:rFonts w:ascii="楷体" w:hAnsi="楷体" w:eastAsia="楷体" w:cs="楷体"/>
                <w:sz w:val="19"/>
                <w:szCs w:val="19"/>
              </w:rPr>
            </w:pPr>
            <w:r>
              <w:rPr>
                <w:rFonts w:ascii="楷体" w:hAnsi="楷体" w:eastAsia="楷体" w:cs="楷体"/>
                <w:spacing w:val="8"/>
                <w:sz w:val="19"/>
                <w:szCs w:val="19"/>
              </w:rPr>
              <w:t>2.其他法律行政法规禁</w:t>
            </w:r>
            <w:r>
              <w:rPr>
                <w:rFonts w:ascii="楷体" w:hAnsi="楷体" w:eastAsia="楷体" w:cs="楷体"/>
                <w:spacing w:val="6"/>
                <w:sz w:val="19"/>
                <w:szCs w:val="19"/>
              </w:rPr>
              <w:t xml:space="preserve"> </w:t>
            </w:r>
            <w:r>
              <w:rPr>
                <w:rFonts w:ascii="楷体" w:hAnsi="楷体" w:eastAsia="楷体" w:cs="楷体"/>
                <w:spacing w:val="5"/>
                <w:sz w:val="19"/>
                <w:szCs w:val="19"/>
              </w:rPr>
              <w:t>止公开</w:t>
            </w:r>
          </w:p>
        </w:tc>
        <w:tc>
          <w:tcPr>
            <w:tcW w:w="630" w:type="dxa"/>
            <w:vAlign w:val="top"/>
          </w:tcPr>
          <w:p w14:paraId="4725F6A5">
            <w:pPr>
              <w:rPr>
                <w:rFonts w:ascii="Arial"/>
                <w:sz w:val="21"/>
              </w:rPr>
            </w:pPr>
          </w:p>
        </w:tc>
        <w:tc>
          <w:tcPr>
            <w:tcW w:w="765" w:type="dxa"/>
            <w:vAlign w:val="top"/>
          </w:tcPr>
          <w:p w14:paraId="2D12380F">
            <w:pPr>
              <w:rPr>
                <w:rFonts w:ascii="Arial"/>
                <w:sz w:val="21"/>
              </w:rPr>
            </w:pPr>
          </w:p>
        </w:tc>
        <w:tc>
          <w:tcPr>
            <w:tcW w:w="765" w:type="dxa"/>
            <w:vAlign w:val="top"/>
          </w:tcPr>
          <w:p w14:paraId="1DB1B981">
            <w:pPr>
              <w:rPr>
                <w:rFonts w:ascii="Arial"/>
                <w:sz w:val="21"/>
              </w:rPr>
            </w:pPr>
          </w:p>
        </w:tc>
        <w:tc>
          <w:tcPr>
            <w:tcW w:w="824" w:type="dxa"/>
            <w:vAlign w:val="top"/>
          </w:tcPr>
          <w:p w14:paraId="6C41C378">
            <w:pPr>
              <w:rPr>
                <w:rFonts w:ascii="Arial"/>
                <w:sz w:val="21"/>
              </w:rPr>
            </w:pPr>
          </w:p>
        </w:tc>
        <w:tc>
          <w:tcPr>
            <w:tcW w:w="989" w:type="dxa"/>
            <w:vAlign w:val="top"/>
          </w:tcPr>
          <w:p w14:paraId="108E0097">
            <w:pPr>
              <w:rPr>
                <w:rFonts w:ascii="Arial"/>
                <w:sz w:val="21"/>
              </w:rPr>
            </w:pPr>
          </w:p>
        </w:tc>
        <w:tc>
          <w:tcPr>
            <w:tcW w:w="720" w:type="dxa"/>
            <w:vAlign w:val="top"/>
          </w:tcPr>
          <w:p w14:paraId="485094AD">
            <w:pPr>
              <w:rPr>
                <w:rFonts w:ascii="Arial"/>
                <w:sz w:val="21"/>
              </w:rPr>
            </w:pPr>
          </w:p>
        </w:tc>
        <w:tc>
          <w:tcPr>
            <w:tcW w:w="706" w:type="dxa"/>
            <w:vAlign w:val="top"/>
          </w:tcPr>
          <w:p w14:paraId="00A02135">
            <w:pPr>
              <w:rPr>
                <w:rFonts w:ascii="Arial"/>
                <w:sz w:val="21"/>
              </w:rPr>
            </w:pPr>
          </w:p>
        </w:tc>
      </w:tr>
      <w:tr w14:paraId="05119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5B42DB37">
            <w:pPr>
              <w:rPr>
                <w:rFonts w:ascii="Arial"/>
                <w:sz w:val="21"/>
              </w:rPr>
            </w:pPr>
          </w:p>
        </w:tc>
        <w:tc>
          <w:tcPr>
            <w:tcW w:w="854" w:type="dxa"/>
            <w:vMerge w:val="continue"/>
            <w:tcBorders>
              <w:top w:val="nil"/>
              <w:bottom w:val="nil"/>
            </w:tcBorders>
            <w:vAlign w:val="top"/>
          </w:tcPr>
          <w:p w14:paraId="5C707A79">
            <w:pPr>
              <w:rPr>
                <w:rFonts w:ascii="Arial"/>
                <w:sz w:val="21"/>
              </w:rPr>
            </w:pPr>
          </w:p>
        </w:tc>
        <w:tc>
          <w:tcPr>
            <w:tcW w:w="2324" w:type="dxa"/>
            <w:vAlign w:val="top"/>
          </w:tcPr>
          <w:p w14:paraId="70E7352E">
            <w:pPr>
              <w:spacing w:before="57" w:line="241" w:lineRule="auto"/>
              <w:jc w:val="right"/>
              <w:rPr>
                <w:rFonts w:ascii="楷体" w:hAnsi="楷体" w:eastAsia="楷体" w:cs="楷体"/>
                <w:sz w:val="19"/>
                <w:szCs w:val="19"/>
              </w:rPr>
            </w:pPr>
            <w:r>
              <w:rPr>
                <w:rFonts w:ascii="楷体" w:hAnsi="楷体" w:eastAsia="楷体" w:cs="楷体"/>
                <w:spacing w:val="7"/>
                <w:sz w:val="19"/>
                <w:szCs w:val="19"/>
              </w:rPr>
              <w:t>3.危及“三安全一稳定</w:t>
            </w:r>
            <w:r>
              <w:rPr>
                <w:rFonts w:ascii="楷体" w:hAnsi="楷体" w:eastAsia="楷体" w:cs="楷体"/>
                <w:spacing w:val="-63"/>
                <w:sz w:val="19"/>
                <w:szCs w:val="19"/>
              </w:rPr>
              <w:t xml:space="preserve"> </w:t>
            </w:r>
            <w:r>
              <w:rPr>
                <w:rFonts w:ascii="楷体" w:hAnsi="楷体" w:eastAsia="楷体" w:cs="楷体"/>
                <w:spacing w:val="7"/>
                <w:sz w:val="19"/>
                <w:szCs w:val="19"/>
              </w:rPr>
              <w:t>”</w:t>
            </w:r>
          </w:p>
        </w:tc>
        <w:tc>
          <w:tcPr>
            <w:tcW w:w="630" w:type="dxa"/>
            <w:vAlign w:val="top"/>
          </w:tcPr>
          <w:p w14:paraId="7EFE9287">
            <w:pPr>
              <w:rPr>
                <w:rFonts w:ascii="Arial"/>
                <w:sz w:val="21"/>
              </w:rPr>
            </w:pPr>
          </w:p>
        </w:tc>
        <w:tc>
          <w:tcPr>
            <w:tcW w:w="765" w:type="dxa"/>
            <w:vAlign w:val="top"/>
          </w:tcPr>
          <w:p w14:paraId="1C718EE9">
            <w:pPr>
              <w:rPr>
                <w:rFonts w:ascii="Arial"/>
                <w:sz w:val="21"/>
              </w:rPr>
            </w:pPr>
          </w:p>
        </w:tc>
        <w:tc>
          <w:tcPr>
            <w:tcW w:w="765" w:type="dxa"/>
            <w:vAlign w:val="top"/>
          </w:tcPr>
          <w:p w14:paraId="2ECB4D79">
            <w:pPr>
              <w:rPr>
                <w:rFonts w:ascii="Arial"/>
                <w:sz w:val="21"/>
              </w:rPr>
            </w:pPr>
          </w:p>
        </w:tc>
        <w:tc>
          <w:tcPr>
            <w:tcW w:w="824" w:type="dxa"/>
            <w:vAlign w:val="top"/>
          </w:tcPr>
          <w:p w14:paraId="4C977E0B">
            <w:pPr>
              <w:rPr>
                <w:rFonts w:ascii="Arial"/>
                <w:sz w:val="21"/>
              </w:rPr>
            </w:pPr>
          </w:p>
        </w:tc>
        <w:tc>
          <w:tcPr>
            <w:tcW w:w="989" w:type="dxa"/>
            <w:vAlign w:val="top"/>
          </w:tcPr>
          <w:p w14:paraId="3A331BF0">
            <w:pPr>
              <w:rPr>
                <w:rFonts w:ascii="Arial"/>
                <w:sz w:val="21"/>
              </w:rPr>
            </w:pPr>
          </w:p>
        </w:tc>
        <w:tc>
          <w:tcPr>
            <w:tcW w:w="720" w:type="dxa"/>
            <w:vAlign w:val="top"/>
          </w:tcPr>
          <w:p w14:paraId="771DBE84">
            <w:pPr>
              <w:rPr>
                <w:rFonts w:ascii="Arial"/>
                <w:sz w:val="21"/>
              </w:rPr>
            </w:pPr>
          </w:p>
        </w:tc>
        <w:tc>
          <w:tcPr>
            <w:tcW w:w="706" w:type="dxa"/>
            <w:vAlign w:val="top"/>
          </w:tcPr>
          <w:p w14:paraId="5E7B484B">
            <w:pPr>
              <w:rPr>
                <w:rFonts w:ascii="Arial"/>
                <w:sz w:val="21"/>
              </w:rPr>
            </w:pPr>
          </w:p>
        </w:tc>
      </w:tr>
      <w:tr w14:paraId="4CD50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71E0F087">
            <w:pPr>
              <w:rPr>
                <w:rFonts w:ascii="Arial"/>
                <w:sz w:val="21"/>
              </w:rPr>
            </w:pPr>
          </w:p>
        </w:tc>
        <w:tc>
          <w:tcPr>
            <w:tcW w:w="854" w:type="dxa"/>
            <w:vMerge w:val="continue"/>
            <w:tcBorders>
              <w:top w:val="nil"/>
              <w:bottom w:val="nil"/>
            </w:tcBorders>
            <w:vAlign w:val="top"/>
          </w:tcPr>
          <w:p w14:paraId="17EA02B8">
            <w:pPr>
              <w:rPr>
                <w:rFonts w:ascii="Arial"/>
                <w:sz w:val="21"/>
              </w:rPr>
            </w:pPr>
          </w:p>
        </w:tc>
        <w:tc>
          <w:tcPr>
            <w:tcW w:w="2324" w:type="dxa"/>
            <w:vAlign w:val="top"/>
          </w:tcPr>
          <w:p w14:paraId="67C6AC0F">
            <w:pPr>
              <w:spacing w:before="56" w:line="234" w:lineRule="auto"/>
              <w:ind w:left="106"/>
              <w:rPr>
                <w:rFonts w:ascii="楷体" w:hAnsi="楷体" w:eastAsia="楷体" w:cs="楷体"/>
                <w:sz w:val="19"/>
                <w:szCs w:val="19"/>
              </w:rPr>
            </w:pPr>
            <w:r>
              <w:rPr>
                <w:rFonts w:ascii="楷体" w:hAnsi="楷体" w:eastAsia="楷体" w:cs="楷体"/>
                <w:spacing w:val="8"/>
                <w:sz w:val="19"/>
                <w:szCs w:val="19"/>
              </w:rPr>
              <w:t>4.保护第三方合法权益</w:t>
            </w:r>
          </w:p>
        </w:tc>
        <w:tc>
          <w:tcPr>
            <w:tcW w:w="630" w:type="dxa"/>
            <w:vAlign w:val="top"/>
          </w:tcPr>
          <w:p w14:paraId="29A96D11">
            <w:pPr>
              <w:rPr>
                <w:rFonts w:ascii="Arial"/>
                <w:sz w:val="21"/>
              </w:rPr>
            </w:pPr>
          </w:p>
        </w:tc>
        <w:tc>
          <w:tcPr>
            <w:tcW w:w="765" w:type="dxa"/>
            <w:vAlign w:val="top"/>
          </w:tcPr>
          <w:p w14:paraId="6ECAD864">
            <w:pPr>
              <w:rPr>
                <w:rFonts w:ascii="Arial"/>
                <w:sz w:val="21"/>
              </w:rPr>
            </w:pPr>
          </w:p>
        </w:tc>
        <w:tc>
          <w:tcPr>
            <w:tcW w:w="765" w:type="dxa"/>
            <w:vAlign w:val="top"/>
          </w:tcPr>
          <w:p w14:paraId="3F7B3D5E">
            <w:pPr>
              <w:rPr>
                <w:rFonts w:ascii="Arial"/>
                <w:sz w:val="21"/>
              </w:rPr>
            </w:pPr>
          </w:p>
        </w:tc>
        <w:tc>
          <w:tcPr>
            <w:tcW w:w="824" w:type="dxa"/>
            <w:vAlign w:val="top"/>
          </w:tcPr>
          <w:p w14:paraId="4CDB9FDB">
            <w:pPr>
              <w:rPr>
                <w:rFonts w:ascii="Arial"/>
                <w:sz w:val="21"/>
              </w:rPr>
            </w:pPr>
          </w:p>
        </w:tc>
        <w:tc>
          <w:tcPr>
            <w:tcW w:w="989" w:type="dxa"/>
            <w:vAlign w:val="top"/>
          </w:tcPr>
          <w:p w14:paraId="35B85923">
            <w:pPr>
              <w:rPr>
                <w:rFonts w:ascii="Arial"/>
                <w:sz w:val="21"/>
              </w:rPr>
            </w:pPr>
          </w:p>
        </w:tc>
        <w:tc>
          <w:tcPr>
            <w:tcW w:w="720" w:type="dxa"/>
            <w:vAlign w:val="top"/>
          </w:tcPr>
          <w:p w14:paraId="15B84498">
            <w:pPr>
              <w:rPr>
                <w:rFonts w:ascii="Arial"/>
                <w:sz w:val="21"/>
              </w:rPr>
            </w:pPr>
          </w:p>
        </w:tc>
        <w:tc>
          <w:tcPr>
            <w:tcW w:w="706" w:type="dxa"/>
            <w:vAlign w:val="top"/>
          </w:tcPr>
          <w:p w14:paraId="57438B69">
            <w:pPr>
              <w:rPr>
                <w:rFonts w:ascii="Arial"/>
                <w:sz w:val="21"/>
              </w:rPr>
            </w:pPr>
          </w:p>
        </w:tc>
      </w:tr>
      <w:tr w14:paraId="27F38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98" w:type="dxa"/>
            <w:vMerge w:val="continue"/>
            <w:tcBorders>
              <w:top w:val="nil"/>
              <w:bottom w:val="nil"/>
            </w:tcBorders>
            <w:textDirection w:val="tbRlV"/>
            <w:vAlign w:val="top"/>
          </w:tcPr>
          <w:p w14:paraId="3B2FA57D">
            <w:pPr>
              <w:rPr>
                <w:rFonts w:ascii="Arial"/>
                <w:sz w:val="21"/>
              </w:rPr>
            </w:pPr>
          </w:p>
        </w:tc>
        <w:tc>
          <w:tcPr>
            <w:tcW w:w="854" w:type="dxa"/>
            <w:vMerge w:val="continue"/>
            <w:tcBorders>
              <w:top w:val="nil"/>
              <w:bottom w:val="nil"/>
            </w:tcBorders>
            <w:vAlign w:val="top"/>
          </w:tcPr>
          <w:p w14:paraId="13E438B8">
            <w:pPr>
              <w:rPr>
                <w:rFonts w:ascii="Arial"/>
                <w:sz w:val="21"/>
              </w:rPr>
            </w:pPr>
          </w:p>
        </w:tc>
        <w:tc>
          <w:tcPr>
            <w:tcW w:w="2324" w:type="dxa"/>
            <w:vAlign w:val="top"/>
          </w:tcPr>
          <w:p w14:paraId="4CBEB7C4">
            <w:pPr>
              <w:spacing w:before="56" w:line="273" w:lineRule="auto"/>
              <w:ind w:left="127" w:right="213" w:hanging="20"/>
              <w:rPr>
                <w:rFonts w:ascii="楷体" w:hAnsi="楷体" w:eastAsia="楷体" w:cs="楷体"/>
                <w:sz w:val="19"/>
                <w:szCs w:val="19"/>
              </w:rPr>
            </w:pPr>
            <w:r>
              <w:rPr>
                <w:rFonts w:ascii="楷体" w:hAnsi="楷体" w:eastAsia="楷体" w:cs="楷体"/>
                <w:spacing w:val="8"/>
                <w:sz w:val="19"/>
                <w:szCs w:val="19"/>
              </w:rPr>
              <w:t>5.属于三类内部事务信</w:t>
            </w:r>
            <w:r>
              <w:rPr>
                <w:rFonts w:ascii="楷体" w:hAnsi="楷体" w:eastAsia="楷体" w:cs="楷体"/>
                <w:spacing w:val="9"/>
                <w:sz w:val="19"/>
                <w:szCs w:val="19"/>
              </w:rPr>
              <w:t xml:space="preserve"> </w:t>
            </w:r>
            <w:r>
              <w:rPr>
                <w:rFonts w:ascii="楷体" w:hAnsi="楷体" w:eastAsia="楷体" w:cs="楷体"/>
                <w:sz w:val="19"/>
                <w:szCs w:val="19"/>
              </w:rPr>
              <w:t>息</w:t>
            </w:r>
          </w:p>
        </w:tc>
        <w:tc>
          <w:tcPr>
            <w:tcW w:w="630" w:type="dxa"/>
            <w:vAlign w:val="top"/>
          </w:tcPr>
          <w:p w14:paraId="3CD53F16">
            <w:pPr>
              <w:rPr>
                <w:rFonts w:ascii="Arial"/>
                <w:sz w:val="21"/>
              </w:rPr>
            </w:pPr>
          </w:p>
        </w:tc>
        <w:tc>
          <w:tcPr>
            <w:tcW w:w="765" w:type="dxa"/>
            <w:vAlign w:val="top"/>
          </w:tcPr>
          <w:p w14:paraId="556DEA29">
            <w:pPr>
              <w:rPr>
                <w:rFonts w:ascii="Arial"/>
                <w:sz w:val="21"/>
              </w:rPr>
            </w:pPr>
          </w:p>
        </w:tc>
        <w:tc>
          <w:tcPr>
            <w:tcW w:w="765" w:type="dxa"/>
            <w:vAlign w:val="top"/>
          </w:tcPr>
          <w:p w14:paraId="25D04BD5">
            <w:pPr>
              <w:rPr>
                <w:rFonts w:ascii="Arial"/>
                <w:sz w:val="21"/>
              </w:rPr>
            </w:pPr>
          </w:p>
        </w:tc>
        <w:tc>
          <w:tcPr>
            <w:tcW w:w="824" w:type="dxa"/>
            <w:vAlign w:val="top"/>
          </w:tcPr>
          <w:p w14:paraId="7BE533EF">
            <w:pPr>
              <w:rPr>
                <w:rFonts w:ascii="Arial"/>
                <w:sz w:val="21"/>
              </w:rPr>
            </w:pPr>
          </w:p>
        </w:tc>
        <w:tc>
          <w:tcPr>
            <w:tcW w:w="989" w:type="dxa"/>
            <w:vAlign w:val="top"/>
          </w:tcPr>
          <w:p w14:paraId="040AA2D3">
            <w:pPr>
              <w:rPr>
                <w:rFonts w:ascii="Arial"/>
                <w:sz w:val="21"/>
              </w:rPr>
            </w:pPr>
          </w:p>
        </w:tc>
        <w:tc>
          <w:tcPr>
            <w:tcW w:w="720" w:type="dxa"/>
            <w:vAlign w:val="top"/>
          </w:tcPr>
          <w:p w14:paraId="67682BFD">
            <w:pPr>
              <w:rPr>
                <w:rFonts w:ascii="Arial"/>
                <w:sz w:val="21"/>
              </w:rPr>
            </w:pPr>
          </w:p>
        </w:tc>
        <w:tc>
          <w:tcPr>
            <w:tcW w:w="706" w:type="dxa"/>
            <w:vAlign w:val="top"/>
          </w:tcPr>
          <w:p w14:paraId="2E78E730">
            <w:pPr>
              <w:rPr>
                <w:rFonts w:ascii="Arial"/>
                <w:sz w:val="21"/>
              </w:rPr>
            </w:pPr>
          </w:p>
        </w:tc>
      </w:tr>
      <w:tr w14:paraId="356EE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63AA2134">
            <w:pPr>
              <w:rPr>
                <w:rFonts w:ascii="Arial"/>
                <w:sz w:val="21"/>
              </w:rPr>
            </w:pPr>
          </w:p>
        </w:tc>
        <w:tc>
          <w:tcPr>
            <w:tcW w:w="854" w:type="dxa"/>
            <w:vMerge w:val="continue"/>
            <w:tcBorders>
              <w:top w:val="nil"/>
              <w:bottom w:val="nil"/>
            </w:tcBorders>
            <w:vAlign w:val="top"/>
          </w:tcPr>
          <w:p w14:paraId="6732E161">
            <w:pPr>
              <w:rPr>
                <w:rFonts w:ascii="Arial"/>
                <w:sz w:val="21"/>
              </w:rPr>
            </w:pPr>
          </w:p>
        </w:tc>
        <w:tc>
          <w:tcPr>
            <w:tcW w:w="2324" w:type="dxa"/>
            <w:vAlign w:val="top"/>
          </w:tcPr>
          <w:p w14:paraId="56B38238">
            <w:pPr>
              <w:spacing w:before="60" w:line="234" w:lineRule="auto"/>
              <w:ind w:left="111"/>
              <w:rPr>
                <w:rFonts w:ascii="楷体" w:hAnsi="楷体" w:eastAsia="楷体" w:cs="楷体"/>
                <w:sz w:val="19"/>
                <w:szCs w:val="19"/>
              </w:rPr>
            </w:pPr>
            <w:r>
              <w:rPr>
                <w:rFonts w:ascii="楷体" w:hAnsi="楷体" w:eastAsia="楷体" w:cs="楷体"/>
                <w:spacing w:val="8"/>
                <w:sz w:val="19"/>
                <w:szCs w:val="19"/>
              </w:rPr>
              <w:t>6.属于四类过程性信息</w:t>
            </w:r>
          </w:p>
        </w:tc>
        <w:tc>
          <w:tcPr>
            <w:tcW w:w="630" w:type="dxa"/>
            <w:vAlign w:val="top"/>
          </w:tcPr>
          <w:p w14:paraId="7945A6C3">
            <w:pPr>
              <w:rPr>
                <w:rFonts w:ascii="Arial"/>
                <w:sz w:val="21"/>
              </w:rPr>
            </w:pPr>
          </w:p>
        </w:tc>
        <w:tc>
          <w:tcPr>
            <w:tcW w:w="765" w:type="dxa"/>
            <w:vAlign w:val="top"/>
          </w:tcPr>
          <w:p w14:paraId="47051CC4">
            <w:pPr>
              <w:rPr>
                <w:rFonts w:ascii="Arial"/>
                <w:sz w:val="21"/>
              </w:rPr>
            </w:pPr>
          </w:p>
        </w:tc>
        <w:tc>
          <w:tcPr>
            <w:tcW w:w="765" w:type="dxa"/>
            <w:vAlign w:val="top"/>
          </w:tcPr>
          <w:p w14:paraId="13CBD67C">
            <w:pPr>
              <w:rPr>
                <w:rFonts w:ascii="Arial"/>
                <w:sz w:val="21"/>
              </w:rPr>
            </w:pPr>
          </w:p>
        </w:tc>
        <w:tc>
          <w:tcPr>
            <w:tcW w:w="824" w:type="dxa"/>
            <w:vAlign w:val="top"/>
          </w:tcPr>
          <w:p w14:paraId="024E6974">
            <w:pPr>
              <w:rPr>
                <w:rFonts w:ascii="Arial"/>
                <w:sz w:val="21"/>
              </w:rPr>
            </w:pPr>
          </w:p>
        </w:tc>
        <w:tc>
          <w:tcPr>
            <w:tcW w:w="989" w:type="dxa"/>
            <w:vAlign w:val="top"/>
          </w:tcPr>
          <w:p w14:paraId="0197E894">
            <w:pPr>
              <w:rPr>
                <w:rFonts w:ascii="Arial"/>
                <w:sz w:val="21"/>
              </w:rPr>
            </w:pPr>
          </w:p>
        </w:tc>
        <w:tc>
          <w:tcPr>
            <w:tcW w:w="720" w:type="dxa"/>
            <w:vAlign w:val="top"/>
          </w:tcPr>
          <w:p w14:paraId="20DF04F7">
            <w:pPr>
              <w:rPr>
                <w:rFonts w:ascii="Arial"/>
                <w:sz w:val="21"/>
              </w:rPr>
            </w:pPr>
          </w:p>
        </w:tc>
        <w:tc>
          <w:tcPr>
            <w:tcW w:w="706" w:type="dxa"/>
            <w:vAlign w:val="top"/>
          </w:tcPr>
          <w:p w14:paraId="7F5AC9B4">
            <w:pPr>
              <w:rPr>
                <w:rFonts w:ascii="Arial"/>
                <w:sz w:val="21"/>
              </w:rPr>
            </w:pPr>
          </w:p>
        </w:tc>
      </w:tr>
      <w:tr w14:paraId="0B0EB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3FAC0FBE">
            <w:pPr>
              <w:rPr>
                <w:rFonts w:ascii="Arial"/>
                <w:sz w:val="21"/>
              </w:rPr>
            </w:pPr>
          </w:p>
        </w:tc>
        <w:tc>
          <w:tcPr>
            <w:tcW w:w="854" w:type="dxa"/>
            <w:vMerge w:val="continue"/>
            <w:tcBorders>
              <w:top w:val="nil"/>
              <w:bottom w:val="nil"/>
            </w:tcBorders>
            <w:vAlign w:val="top"/>
          </w:tcPr>
          <w:p w14:paraId="13CD647B">
            <w:pPr>
              <w:rPr>
                <w:rFonts w:ascii="Arial"/>
                <w:sz w:val="21"/>
              </w:rPr>
            </w:pPr>
          </w:p>
        </w:tc>
        <w:tc>
          <w:tcPr>
            <w:tcW w:w="2324" w:type="dxa"/>
            <w:vAlign w:val="top"/>
          </w:tcPr>
          <w:p w14:paraId="53B68492">
            <w:pPr>
              <w:spacing w:before="59" w:line="234" w:lineRule="auto"/>
              <w:ind w:left="112"/>
              <w:rPr>
                <w:rFonts w:ascii="楷体" w:hAnsi="楷体" w:eastAsia="楷体" w:cs="楷体"/>
                <w:sz w:val="19"/>
                <w:szCs w:val="19"/>
              </w:rPr>
            </w:pPr>
            <w:r>
              <w:rPr>
                <w:rFonts w:ascii="楷体" w:hAnsi="楷体" w:eastAsia="楷体" w:cs="楷体"/>
                <w:spacing w:val="8"/>
                <w:sz w:val="19"/>
                <w:szCs w:val="19"/>
              </w:rPr>
              <w:t>7.属于行政执法案卷</w:t>
            </w:r>
          </w:p>
        </w:tc>
        <w:tc>
          <w:tcPr>
            <w:tcW w:w="630" w:type="dxa"/>
            <w:vAlign w:val="top"/>
          </w:tcPr>
          <w:p w14:paraId="6EEF0BB6">
            <w:pPr>
              <w:rPr>
                <w:rFonts w:ascii="Arial"/>
                <w:sz w:val="21"/>
              </w:rPr>
            </w:pPr>
          </w:p>
        </w:tc>
        <w:tc>
          <w:tcPr>
            <w:tcW w:w="765" w:type="dxa"/>
            <w:vAlign w:val="top"/>
          </w:tcPr>
          <w:p w14:paraId="1119C90F">
            <w:pPr>
              <w:rPr>
                <w:rFonts w:ascii="Arial"/>
                <w:sz w:val="21"/>
              </w:rPr>
            </w:pPr>
          </w:p>
        </w:tc>
        <w:tc>
          <w:tcPr>
            <w:tcW w:w="765" w:type="dxa"/>
            <w:vAlign w:val="top"/>
          </w:tcPr>
          <w:p w14:paraId="27706B11">
            <w:pPr>
              <w:rPr>
                <w:rFonts w:ascii="Arial"/>
                <w:sz w:val="21"/>
              </w:rPr>
            </w:pPr>
          </w:p>
        </w:tc>
        <w:tc>
          <w:tcPr>
            <w:tcW w:w="824" w:type="dxa"/>
            <w:vAlign w:val="top"/>
          </w:tcPr>
          <w:p w14:paraId="294AE95A">
            <w:pPr>
              <w:rPr>
                <w:rFonts w:ascii="Arial"/>
                <w:sz w:val="21"/>
              </w:rPr>
            </w:pPr>
          </w:p>
        </w:tc>
        <w:tc>
          <w:tcPr>
            <w:tcW w:w="989" w:type="dxa"/>
            <w:vAlign w:val="top"/>
          </w:tcPr>
          <w:p w14:paraId="39C6FD08">
            <w:pPr>
              <w:rPr>
                <w:rFonts w:ascii="Arial"/>
                <w:sz w:val="21"/>
              </w:rPr>
            </w:pPr>
          </w:p>
        </w:tc>
        <w:tc>
          <w:tcPr>
            <w:tcW w:w="720" w:type="dxa"/>
            <w:vAlign w:val="top"/>
          </w:tcPr>
          <w:p w14:paraId="08F42596">
            <w:pPr>
              <w:rPr>
                <w:rFonts w:ascii="Arial"/>
                <w:sz w:val="21"/>
              </w:rPr>
            </w:pPr>
          </w:p>
        </w:tc>
        <w:tc>
          <w:tcPr>
            <w:tcW w:w="706" w:type="dxa"/>
            <w:vAlign w:val="top"/>
          </w:tcPr>
          <w:p w14:paraId="6A004718">
            <w:pPr>
              <w:rPr>
                <w:rFonts w:ascii="Arial"/>
                <w:sz w:val="21"/>
              </w:rPr>
            </w:pPr>
          </w:p>
        </w:tc>
      </w:tr>
      <w:tr w14:paraId="0FE10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62C19F98">
            <w:pPr>
              <w:rPr>
                <w:rFonts w:ascii="Arial"/>
                <w:sz w:val="21"/>
              </w:rPr>
            </w:pPr>
          </w:p>
        </w:tc>
        <w:tc>
          <w:tcPr>
            <w:tcW w:w="854" w:type="dxa"/>
            <w:vMerge w:val="continue"/>
            <w:tcBorders>
              <w:top w:val="nil"/>
            </w:tcBorders>
            <w:vAlign w:val="top"/>
          </w:tcPr>
          <w:p w14:paraId="7B990682">
            <w:pPr>
              <w:rPr>
                <w:rFonts w:ascii="Arial"/>
                <w:sz w:val="21"/>
              </w:rPr>
            </w:pPr>
          </w:p>
        </w:tc>
        <w:tc>
          <w:tcPr>
            <w:tcW w:w="2324" w:type="dxa"/>
            <w:vAlign w:val="top"/>
          </w:tcPr>
          <w:p w14:paraId="5D6CEF89">
            <w:pPr>
              <w:spacing w:before="58" w:line="234" w:lineRule="auto"/>
              <w:ind w:left="109"/>
              <w:rPr>
                <w:rFonts w:ascii="楷体" w:hAnsi="楷体" w:eastAsia="楷体" w:cs="楷体"/>
                <w:sz w:val="19"/>
                <w:szCs w:val="19"/>
              </w:rPr>
            </w:pPr>
            <w:r>
              <w:rPr>
                <w:rFonts w:ascii="楷体" w:hAnsi="楷体" w:eastAsia="楷体" w:cs="楷体"/>
                <w:spacing w:val="8"/>
                <w:sz w:val="19"/>
                <w:szCs w:val="19"/>
              </w:rPr>
              <w:t>8.属于行政查询事项</w:t>
            </w:r>
          </w:p>
        </w:tc>
        <w:tc>
          <w:tcPr>
            <w:tcW w:w="630" w:type="dxa"/>
            <w:vAlign w:val="top"/>
          </w:tcPr>
          <w:p w14:paraId="6D94FDC4">
            <w:pPr>
              <w:rPr>
                <w:rFonts w:ascii="Arial"/>
                <w:sz w:val="21"/>
              </w:rPr>
            </w:pPr>
          </w:p>
        </w:tc>
        <w:tc>
          <w:tcPr>
            <w:tcW w:w="765" w:type="dxa"/>
            <w:vAlign w:val="top"/>
          </w:tcPr>
          <w:p w14:paraId="178BD694">
            <w:pPr>
              <w:rPr>
                <w:rFonts w:ascii="Arial"/>
                <w:sz w:val="21"/>
              </w:rPr>
            </w:pPr>
          </w:p>
        </w:tc>
        <w:tc>
          <w:tcPr>
            <w:tcW w:w="765" w:type="dxa"/>
            <w:vAlign w:val="top"/>
          </w:tcPr>
          <w:p w14:paraId="3E6B16BF">
            <w:pPr>
              <w:rPr>
                <w:rFonts w:ascii="Arial"/>
                <w:sz w:val="21"/>
              </w:rPr>
            </w:pPr>
          </w:p>
        </w:tc>
        <w:tc>
          <w:tcPr>
            <w:tcW w:w="824" w:type="dxa"/>
            <w:vAlign w:val="top"/>
          </w:tcPr>
          <w:p w14:paraId="479A2CF6">
            <w:pPr>
              <w:rPr>
                <w:rFonts w:ascii="Arial"/>
                <w:sz w:val="21"/>
              </w:rPr>
            </w:pPr>
          </w:p>
        </w:tc>
        <w:tc>
          <w:tcPr>
            <w:tcW w:w="989" w:type="dxa"/>
            <w:vAlign w:val="top"/>
          </w:tcPr>
          <w:p w14:paraId="35AC6A35">
            <w:pPr>
              <w:rPr>
                <w:rFonts w:ascii="Arial"/>
                <w:sz w:val="21"/>
              </w:rPr>
            </w:pPr>
          </w:p>
        </w:tc>
        <w:tc>
          <w:tcPr>
            <w:tcW w:w="720" w:type="dxa"/>
            <w:vAlign w:val="top"/>
          </w:tcPr>
          <w:p w14:paraId="37C46952">
            <w:pPr>
              <w:rPr>
                <w:rFonts w:ascii="Arial"/>
                <w:sz w:val="21"/>
              </w:rPr>
            </w:pPr>
          </w:p>
        </w:tc>
        <w:tc>
          <w:tcPr>
            <w:tcW w:w="706" w:type="dxa"/>
            <w:vAlign w:val="top"/>
          </w:tcPr>
          <w:p w14:paraId="0D56E8AB">
            <w:pPr>
              <w:rPr>
                <w:rFonts w:ascii="Arial"/>
                <w:sz w:val="21"/>
              </w:rPr>
            </w:pPr>
          </w:p>
        </w:tc>
      </w:tr>
      <w:tr w14:paraId="6A14D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98" w:type="dxa"/>
            <w:vMerge w:val="continue"/>
            <w:tcBorders>
              <w:top w:val="nil"/>
              <w:bottom w:val="nil"/>
            </w:tcBorders>
            <w:textDirection w:val="tbRlV"/>
            <w:vAlign w:val="top"/>
          </w:tcPr>
          <w:p w14:paraId="4370115C">
            <w:pPr>
              <w:rPr>
                <w:rFonts w:ascii="Arial"/>
                <w:sz w:val="21"/>
              </w:rPr>
            </w:pPr>
          </w:p>
        </w:tc>
        <w:tc>
          <w:tcPr>
            <w:tcW w:w="854" w:type="dxa"/>
            <w:vMerge w:val="restart"/>
            <w:tcBorders>
              <w:bottom w:val="nil"/>
            </w:tcBorders>
            <w:vAlign w:val="top"/>
          </w:tcPr>
          <w:p w14:paraId="16CB8D51">
            <w:pPr>
              <w:spacing w:line="471" w:lineRule="auto"/>
              <w:rPr>
                <w:rFonts w:ascii="Arial"/>
                <w:sz w:val="21"/>
              </w:rPr>
            </w:pPr>
          </w:p>
          <w:p w14:paraId="2593AA6A">
            <w:pPr>
              <w:spacing w:before="61" w:line="295" w:lineRule="auto"/>
              <w:ind w:left="103" w:right="144" w:firstLine="25"/>
              <w:jc w:val="both"/>
              <w:rPr>
                <w:rFonts w:ascii="楷体" w:hAnsi="楷体" w:eastAsia="楷体" w:cs="楷体"/>
                <w:sz w:val="19"/>
                <w:szCs w:val="19"/>
              </w:rPr>
            </w:pPr>
            <w:r>
              <w:rPr>
                <w:rFonts w:ascii="楷体" w:hAnsi="楷体" w:eastAsia="楷体" w:cs="楷体"/>
                <w:spacing w:val="-7"/>
                <w:sz w:val="19"/>
                <w:szCs w:val="19"/>
              </w:rPr>
              <w:t>（四）</w:t>
            </w:r>
            <w:r>
              <w:rPr>
                <w:rFonts w:ascii="楷体" w:hAnsi="楷体" w:eastAsia="楷体" w:cs="楷体"/>
                <w:sz w:val="19"/>
                <w:szCs w:val="19"/>
              </w:rPr>
              <w:t xml:space="preserve"> </w:t>
            </w:r>
            <w:r>
              <w:rPr>
                <w:rFonts w:ascii="楷体" w:hAnsi="楷体" w:eastAsia="楷体" w:cs="楷体"/>
                <w:spacing w:val="10"/>
                <w:sz w:val="19"/>
                <w:szCs w:val="19"/>
              </w:rPr>
              <w:t>无法提</w:t>
            </w:r>
            <w:r>
              <w:rPr>
                <w:rFonts w:ascii="楷体" w:hAnsi="楷体" w:eastAsia="楷体" w:cs="楷体"/>
                <w:sz w:val="19"/>
                <w:szCs w:val="19"/>
              </w:rPr>
              <w:t xml:space="preserve"> </w:t>
            </w:r>
            <w:r>
              <w:rPr>
                <w:rFonts w:ascii="楷体" w:hAnsi="楷体" w:eastAsia="楷体" w:cs="楷体"/>
                <w:spacing w:val="8"/>
                <w:sz w:val="19"/>
                <w:szCs w:val="19"/>
              </w:rPr>
              <w:t>供</w:t>
            </w:r>
          </w:p>
        </w:tc>
        <w:tc>
          <w:tcPr>
            <w:tcW w:w="2324" w:type="dxa"/>
            <w:vAlign w:val="top"/>
          </w:tcPr>
          <w:p w14:paraId="2687F083">
            <w:pPr>
              <w:spacing w:before="58" w:line="272" w:lineRule="auto"/>
              <w:ind w:left="108" w:right="213" w:firstLine="13"/>
              <w:rPr>
                <w:rFonts w:ascii="楷体" w:hAnsi="楷体" w:eastAsia="楷体" w:cs="楷体"/>
                <w:sz w:val="19"/>
                <w:szCs w:val="19"/>
              </w:rPr>
            </w:pPr>
            <w:r>
              <w:rPr>
                <w:rFonts w:ascii="楷体" w:hAnsi="楷体" w:eastAsia="楷体" w:cs="楷体"/>
                <w:spacing w:val="7"/>
                <w:sz w:val="19"/>
                <w:szCs w:val="19"/>
              </w:rPr>
              <w:t>1.本机关不掌握相关政</w:t>
            </w:r>
            <w:r>
              <w:rPr>
                <w:rFonts w:ascii="楷体" w:hAnsi="楷体" w:eastAsia="楷体" w:cs="楷体"/>
                <w:spacing w:val="5"/>
                <w:sz w:val="19"/>
                <w:szCs w:val="19"/>
              </w:rPr>
              <w:t xml:space="preserve"> </w:t>
            </w:r>
            <w:r>
              <w:rPr>
                <w:rFonts w:ascii="楷体" w:hAnsi="楷体" w:eastAsia="楷体" w:cs="楷体"/>
                <w:spacing w:val="8"/>
                <w:sz w:val="19"/>
                <w:szCs w:val="19"/>
              </w:rPr>
              <w:t>府信息</w:t>
            </w:r>
          </w:p>
        </w:tc>
        <w:tc>
          <w:tcPr>
            <w:tcW w:w="630" w:type="dxa"/>
            <w:vAlign w:val="top"/>
          </w:tcPr>
          <w:p w14:paraId="06AD8539">
            <w:pPr>
              <w:rPr>
                <w:rFonts w:ascii="Arial"/>
                <w:sz w:val="21"/>
              </w:rPr>
            </w:pPr>
          </w:p>
        </w:tc>
        <w:tc>
          <w:tcPr>
            <w:tcW w:w="765" w:type="dxa"/>
            <w:vAlign w:val="top"/>
          </w:tcPr>
          <w:p w14:paraId="7052334F">
            <w:pPr>
              <w:rPr>
                <w:rFonts w:ascii="Arial"/>
                <w:sz w:val="21"/>
              </w:rPr>
            </w:pPr>
          </w:p>
        </w:tc>
        <w:tc>
          <w:tcPr>
            <w:tcW w:w="765" w:type="dxa"/>
            <w:vAlign w:val="top"/>
          </w:tcPr>
          <w:p w14:paraId="360D2597">
            <w:pPr>
              <w:rPr>
                <w:rFonts w:ascii="Arial"/>
                <w:sz w:val="21"/>
              </w:rPr>
            </w:pPr>
          </w:p>
        </w:tc>
        <w:tc>
          <w:tcPr>
            <w:tcW w:w="824" w:type="dxa"/>
            <w:vAlign w:val="top"/>
          </w:tcPr>
          <w:p w14:paraId="2D8BA491">
            <w:pPr>
              <w:rPr>
                <w:rFonts w:ascii="Arial"/>
                <w:sz w:val="21"/>
              </w:rPr>
            </w:pPr>
          </w:p>
        </w:tc>
        <w:tc>
          <w:tcPr>
            <w:tcW w:w="989" w:type="dxa"/>
            <w:vAlign w:val="top"/>
          </w:tcPr>
          <w:p w14:paraId="74AD690D">
            <w:pPr>
              <w:rPr>
                <w:rFonts w:ascii="Arial"/>
                <w:sz w:val="21"/>
              </w:rPr>
            </w:pPr>
          </w:p>
        </w:tc>
        <w:tc>
          <w:tcPr>
            <w:tcW w:w="720" w:type="dxa"/>
            <w:vAlign w:val="top"/>
          </w:tcPr>
          <w:p w14:paraId="57345828">
            <w:pPr>
              <w:rPr>
                <w:rFonts w:ascii="Arial"/>
                <w:sz w:val="21"/>
              </w:rPr>
            </w:pPr>
          </w:p>
        </w:tc>
        <w:tc>
          <w:tcPr>
            <w:tcW w:w="706" w:type="dxa"/>
            <w:vAlign w:val="top"/>
          </w:tcPr>
          <w:p w14:paraId="084599AB">
            <w:pPr>
              <w:rPr>
                <w:rFonts w:ascii="Arial"/>
                <w:sz w:val="21"/>
              </w:rPr>
            </w:pPr>
          </w:p>
        </w:tc>
      </w:tr>
      <w:tr w14:paraId="22EDA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98" w:type="dxa"/>
            <w:vMerge w:val="continue"/>
            <w:tcBorders>
              <w:top w:val="nil"/>
              <w:bottom w:val="nil"/>
            </w:tcBorders>
            <w:textDirection w:val="tbRlV"/>
            <w:vAlign w:val="top"/>
          </w:tcPr>
          <w:p w14:paraId="0F6D9C6E">
            <w:pPr>
              <w:rPr>
                <w:rFonts w:ascii="Arial"/>
                <w:sz w:val="21"/>
              </w:rPr>
            </w:pPr>
          </w:p>
        </w:tc>
        <w:tc>
          <w:tcPr>
            <w:tcW w:w="854" w:type="dxa"/>
            <w:vMerge w:val="continue"/>
            <w:tcBorders>
              <w:top w:val="nil"/>
              <w:bottom w:val="nil"/>
            </w:tcBorders>
            <w:vAlign w:val="top"/>
          </w:tcPr>
          <w:p w14:paraId="2E18BC55">
            <w:pPr>
              <w:rPr>
                <w:rFonts w:ascii="Arial"/>
                <w:sz w:val="21"/>
              </w:rPr>
            </w:pPr>
          </w:p>
        </w:tc>
        <w:tc>
          <w:tcPr>
            <w:tcW w:w="2324" w:type="dxa"/>
            <w:vAlign w:val="top"/>
          </w:tcPr>
          <w:p w14:paraId="461A1072">
            <w:pPr>
              <w:spacing w:before="60" w:line="271" w:lineRule="auto"/>
              <w:ind w:left="115" w:right="213" w:hanging="5"/>
              <w:rPr>
                <w:rFonts w:ascii="楷体" w:hAnsi="楷体" w:eastAsia="楷体" w:cs="楷体"/>
                <w:sz w:val="19"/>
                <w:szCs w:val="19"/>
              </w:rPr>
            </w:pPr>
            <w:r>
              <w:rPr>
                <w:rFonts w:ascii="楷体" w:hAnsi="楷体" w:eastAsia="楷体" w:cs="楷体"/>
                <w:spacing w:val="8"/>
                <w:sz w:val="19"/>
                <w:szCs w:val="19"/>
              </w:rPr>
              <w:t>2.没有现成信息需要另</w:t>
            </w:r>
            <w:r>
              <w:rPr>
                <w:rFonts w:ascii="楷体" w:hAnsi="楷体" w:eastAsia="楷体" w:cs="楷体"/>
                <w:spacing w:val="6"/>
                <w:sz w:val="19"/>
                <w:szCs w:val="19"/>
              </w:rPr>
              <w:t xml:space="preserve"> 行制作</w:t>
            </w:r>
          </w:p>
        </w:tc>
        <w:tc>
          <w:tcPr>
            <w:tcW w:w="630" w:type="dxa"/>
            <w:vAlign w:val="top"/>
          </w:tcPr>
          <w:p w14:paraId="4473F4AE">
            <w:pPr>
              <w:rPr>
                <w:rFonts w:ascii="Arial"/>
                <w:sz w:val="21"/>
              </w:rPr>
            </w:pPr>
          </w:p>
        </w:tc>
        <w:tc>
          <w:tcPr>
            <w:tcW w:w="765" w:type="dxa"/>
            <w:vAlign w:val="top"/>
          </w:tcPr>
          <w:p w14:paraId="00A19B36">
            <w:pPr>
              <w:rPr>
                <w:rFonts w:ascii="Arial"/>
                <w:sz w:val="21"/>
              </w:rPr>
            </w:pPr>
          </w:p>
        </w:tc>
        <w:tc>
          <w:tcPr>
            <w:tcW w:w="765" w:type="dxa"/>
            <w:vAlign w:val="top"/>
          </w:tcPr>
          <w:p w14:paraId="08349615">
            <w:pPr>
              <w:rPr>
                <w:rFonts w:ascii="Arial"/>
                <w:sz w:val="21"/>
              </w:rPr>
            </w:pPr>
          </w:p>
        </w:tc>
        <w:tc>
          <w:tcPr>
            <w:tcW w:w="824" w:type="dxa"/>
            <w:vAlign w:val="top"/>
          </w:tcPr>
          <w:p w14:paraId="142FC49E">
            <w:pPr>
              <w:rPr>
                <w:rFonts w:ascii="Arial"/>
                <w:sz w:val="21"/>
              </w:rPr>
            </w:pPr>
          </w:p>
        </w:tc>
        <w:tc>
          <w:tcPr>
            <w:tcW w:w="989" w:type="dxa"/>
            <w:vAlign w:val="top"/>
          </w:tcPr>
          <w:p w14:paraId="02A84328">
            <w:pPr>
              <w:rPr>
                <w:rFonts w:ascii="Arial"/>
                <w:sz w:val="21"/>
              </w:rPr>
            </w:pPr>
          </w:p>
        </w:tc>
        <w:tc>
          <w:tcPr>
            <w:tcW w:w="720" w:type="dxa"/>
            <w:vAlign w:val="top"/>
          </w:tcPr>
          <w:p w14:paraId="56035711">
            <w:pPr>
              <w:rPr>
                <w:rFonts w:ascii="Arial"/>
                <w:sz w:val="21"/>
              </w:rPr>
            </w:pPr>
          </w:p>
        </w:tc>
        <w:tc>
          <w:tcPr>
            <w:tcW w:w="706" w:type="dxa"/>
            <w:vAlign w:val="top"/>
          </w:tcPr>
          <w:p w14:paraId="58013176">
            <w:pPr>
              <w:rPr>
                <w:rFonts w:ascii="Arial"/>
                <w:sz w:val="21"/>
              </w:rPr>
            </w:pPr>
          </w:p>
        </w:tc>
      </w:tr>
      <w:tr w14:paraId="09267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98" w:type="dxa"/>
            <w:vMerge w:val="continue"/>
            <w:tcBorders>
              <w:top w:val="nil"/>
              <w:bottom w:val="nil"/>
            </w:tcBorders>
            <w:textDirection w:val="tbRlV"/>
            <w:vAlign w:val="top"/>
          </w:tcPr>
          <w:p w14:paraId="4D1E6815">
            <w:pPr>
              <w:rPr>
                <w:rFonts w:ascii="Arial"/>
                <w:sz w:val="21"/>
              </w:rPr>
            </w:pPr>
          </w:p>
        </w:tc>
        <w:tc>
          <w:tcPr>
            <w:tcW w:w="854" w:type="dxa"/>
            <w:vMerge w:val="continue"/>
            <w:tcBorders>
              <w:top w:val="nil"/>
            </w:tcBorders>
            <w:vAlign w:val="top"/>
          </w:tcPr>
          <w:p w14:paraId="20E6595B">
            <w:pPr>
              <w:rPr>
                <w:rFonts w:ascii="Arial"/>
                <w:sz w:val="21"/>
              </w:rPr>
            </w:pPr>
          </w:p>
        </w:tc>
        <w:tc>
          <w:tcPr>
            <w:tcW w:w="2324" w:type="dxa"/>
            <w:vAlign w:val="top"/>
          </w:tcPr>
          <w:p w14:paraId="53052138">
            <w:pPr>
              <w:spacing w:before="59" w:line="272" w:lineRule="auto"/>
              <w:ind w:left="128" w:right="213" w:hanging="17"/>
              <w:rPr>
                <w:rFonts w:ascii="楷体" w:hAnsi="楷体" w:eastAsia="楷体" w:cs="楷体"/>
                <w:sz w:val="19"/>
                <w:szCs w:val="19"/>
              </w:rPr>
            </w:pPr>
            <w:r>
              <w:rPr>
                <w:rFonts w:ascii="楷体" w:hAnsi="楷体" w:eastAsia="楷体" w:cs="楷体"/>
                <w:spacing w:val="8"/>
                <w:sz w:val="19"/>
                <w:szCs w:val="19"/>
              </w:rPr>
              <w:t>3.补正后申请内容仍不</w:t>
            </w:r>
            <w:r>
              <w:rPr>
                <w:rFonts w:ascii="楷体" w:hAnsi="楷体" w:eastAsia="楷体" w:cs="楷体"/>
                <w:spacing w:val="4"/>
                <w:sz w:val="19"/>
                <w:szCs w:val="19"/>
              </w:rPr>
              <w:t xml:space="preserve"> </w:t>
            </w:r>
            <w:r>
              <w:rPr>
                <w:rFonts w:ascii="楷体" w:hAnsi="楷体" w:eastAsia="楷体" w:cs="楷体"/>
                <w:spacing w:val="-4"/>
                <w:sz w:val="19"/>
                <w:szCs w:val="19"/>
              </w:rPr>
              <w:t>明确</w:t>
            </w:r>
          </w:p>
        </w:tc>
        <w:tc>
          <w:tcPr>
            <w:tcW w:w="630" w:type="dxa"/>
            <w:vAlign w:val="top"/>
          </w:tcPr>
          <w:p w14:paraId="293700D2">
            <w:pPr>
              <w:rPr>
                <w:rFonts w:ascii="Arial"/>
                <w:sz w:val="21"/>
              </w:rPr>
            </w:pPr>
          </w:p>
        </w:tc>
        <w:tc>
          <w:tcPr>
            <w:tcW w:w="765" w:type="dxa"/>
            <w:vAlign w:val="top"/>
          </w:tcPr>
          <w:p w14:paraId="527ED2A9">
            <w:pPr>
              <w:rPr>
                <w:rFonts w:ascii="Arial"/>
                <w:sz w:val="21"/>
              </w:rPr>
            </w:pPr>
          </w:p>
        </w:tc>
        <w:tc>
          <w:tcPr>
            <w:tcW w:w="765" w:type="dxa"/>
            <w:vAlign w:val="top"/>
          </w:tcPr>
          <w:p w14:paraId="62BF775E">
            <w:pPr>
              <w:rPr>
                <w:rFonts w:ascii="Arial"/>
                <w:sz w:val="21"/>
              </w:rPr>
            </w:pPr>
          </w:p>
        </w:tc>
        <w:tc>
          <w:tcPr>
            <w:tcW w:w="824" w:type="dxa"/>
            <w:vAlign w:val="top"/>
          </w:tcPr>
          <w:p w14:paraId="2DDD9CF6">
            <w:pPr>
              <w:rPr>
                <w:rFonts w:ascii="Arial"/>
                <w:sz w:val="21"/>
              </w:rPr>
            </w:pPr>
          </w:p>
        </w:tc>
        <w:tc>
          <w:tcPr>
            <w:tcW w:w="989" w:type="dxa"/>
            <w:vAlign w:val="top"/>
          </w:tcPr>
          <w:p w14:paraId="4674A881">
            <w:pPr>
              <w:rPr>
                <w:rFonts w:ascii="Arial"/>
                <w:sz w:val="21"/>
              </w:rPr>
            </w:pPr>
          </w:p>
        </w:tc>
        <w:tc>
          <w:tcPr>
            <w:tcW w:w="720" w:type="dxa"/>
            <w:vAlign w:val="top"/>
          </w:tcPr>
          <w:p w14:paraId="3F985A17">
            <w:pPr>
              <w:rPr>
                <w:rFonts w:ascii="Arial"/>
                <w:sz w:val="21"/>
              </w:rPr>
            </w:pPr>
          </w:p>
        </w:tc>
        <w:tc>
          <w:tcPr>
            <w:tcW w:w="706" w:type="dxa"/>
            <w:vAlign w:val="top"/>
          </w:tcPr>
          <w:p w14:paraId="2471A91A">
            <w:pPr>
              <w:rPr>
                <w:rFonts w:ascii="Arial"/>
                <w:sz w:val="21"/>
              </w:rPr>
            </w:pPr>
          </w:p>
        </w:tc>
      </w:tr>
      <w:tr w14:paraId="6D70D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50A1CE09">
            <w:pPr>
              <w:rPr>
                <w:rFonts w:ascii="Arial"/>
                <w:sz w:val="21"/>
              </w:rPr>
            </w:pPr>
          </w:p>
        </w:tc>
        <w:tc>
          <w:tcPr>
            <w:tcW w:w="854" w:type="dxa"/>
            <w:vMerge w:val="restart"/>
            <w:tcBorders>
              <w:bottom w:val="nil"/>
            </w:tcBorders>
            <w:vAlign w:val="top"/>
          </w:tcPr>
          <w:p w14:paraId="3880B57D">
            <w:pPr>
              <w:spacing w:line="319" w:lineRule="auto"/>
              <w:rPr>
                <w:rFonts w:ascii="Arial"/>
                <w:sz w:val="21"/>
              </w:rPr>
            </w:pPr>
          </w:p>
          <w:p w14:paraId="2A0E5BC8">
            <w:pPr>
              <w:spacing w:line="319" w:lineRule="auto"/>
              <w:rPr>
                <w:rFonts w:ascii="Arial"/>
                <w:sz w:val="21"/>
              </w:rPr>
            </w:pPr>
          </w:p>
          <w:p w14:paraId="38A7CCF7">
            <w:pPr>
              <w:spacing w:before="62" w:line="288" w:lineRule="auto"/>
              <w:ind w:left="112" w:right="145" w:firstLine="16"/>
              <w:jc w:val="both"/>
              <w:rPr>
                <w:rFonts w:ascii="楷体" w:hAnsi="楷体" w:eastAsia="楷体" w:cs="楷体"/>
                <w:sz w:val="19"/>
                <w:szCs w:val="19"/>
              </w:rPr>
            </w:pPr>
            <w:r>
              <w:rPr>
                <w:rFonts w:ascii="楷体" w:hAnsi="楷体" w:eastAsia="楷体" w:cs="楷体"/>
                <w:spacing w:val="-7"/>
                <w:sz w:val="19"/>
                <w:szCs w:val="19"/>
              </w:rPr>
              <w:t>（五）</w:t>
            </w:r>
            <w:r>
              <w:rPr>
                <w:rFonts w:ascii="楷体" w:hAnsi="楷体" w:eastAsia="楷体" w:cs="楷体"/>
                <w:sz w:val="19"/>
                <w:szCs w:val="19"/>
              </w:rPr>
              <w:t xml:space="preserve"> </w:t>
            </w:r>
            <w:r>
              <w:rPr>
                <w:rFonts w:ascii="楷体" w:hAnsi="楷体" w:eastAsia="楷体" w:cs="楷体"/>
                <w:spacing w:val="7"/>
                <w:sz w:val="19"/>
                <w:szCs w:val="19"/>
              </w:rPr>
              <w:t>不予处</w:t>
            </w:r>
            <w:r>
              <w:rPr>
                <w:rFonts w:ascii="楷体" w:hAnsi="楷体" w:eastAsia="楷体" w:cs="楷体"/>
                <w:sz w:val="19"/>
                <w:szCs w:val="19"/>
              </w:rPr>
              <w:t xml:space="preserve"> 理</w:t>
            </w:r>
          </w:p>
        </w:tc>
        <w:tc>
          <w:tcPr>
            <w:tcW w:w="2324" w:type="dxa"/>
            <w:vAlign w:val="top"/>
          </w:tcPr>
          <w:p w14:paraId="336FB4A1">
            <w:pPr>
              <w:spacing w:before="61" w:line="233" w:lineRule="auto"/>
              <w:ind w:left="122"/>
              <w:rPr>
                <w:rFonts w:ascii="楷体" w:hAnsi="楷体" w:eastAsia="楷体" w:cs="楷体"/>
                <w:sz w:val="19"/>
                <w:szCs w:val="19"/>
              </w:rPr>
            </w:pPr>
            <w:r>
              <w:rPr>
                <w:rFonts w:ascii="楷体" w:hAnsi="楷体" w:eastAsia="楷体" w:cs="楷体"/>
                <w:spacing w:val="7"/>
                <w:sz w:val="19"/>
                <w:szCs w:val="19"/>
              </w:rPr>
              <w:t>1.信访举报投诉类申请</w:t>
            </w:r>
          </w:p>
        </w:tc>
        <w:tc>
          <w:tcPr>
            <w:tcW w:w="630" w:type="dxa"/>
            <w:vAlign w:val="top"/>
          </w:tcPr>
          <w:p w14:paraId="16073E11">
            <w:pPr>
              <w:rPr>
                <w:rFonts w:ascii="Arial"/>
                <w:sz w:val="21"/>
              </w:rPr>
            </w:pPr>
          </w:p>
        </w:tc>
        <w:tc>
          <w:tcPr>
            <w:tcW w:w="765" w:type="dxa"/>
            <w:vAlign w:val="top"/>
          </w:tcPr>
          <w:p w14:paraId="3986AD43">
            <w:pPr>
              <w:rPr>
                <w:rFonts w:ascii="Arial"/>
                <w:sz w:val="21"/>
              </w:rPr>
            </w:pPr>
          </w:p>
        </w:tc>
        <w:tc>
          <w:tcPr>
            <w:tcW w:w="765" w:type="dxa"/>
            <w:vAlign w:val="top"/>
          </w:tcPr>
          <w:p w14:paraId="2E3FF204">
            <w:pPr>
              <w:rPr>
                <w:rFonts w:ascii="Arial"/>
                <w:sz w:val="21"/>
              </w:rPr>
            </w:pPr>
          </w:p>
        </w:tc>
        <w:tc>
          <w:tcPr>
            <w:tcW w:w="824" w:type="dxa"/>
            <w:vAlign w:val="top"/>
          </w:tcPr>
          <w:p w14:paraId="045958D2">
            <w:pPr>
              <w:rPr>
                <w:rFonts w:ascii="Arial"/>
                <w:sz w:val="21"/>
              </w:rPr>
            </w:pPr>
          </w:p>
        </w:tc>
        <w:tc>
          <w:tcPr>
            <w:tcW w:w="989" w:type="dxa"/>
            <w:vAlign w:val="top"/>
          </w:tcPr>
          <w:p w14:paraId="439BCDBC">
            <w:pPr>
              <w:rPr>
                <w:rFonts w:ascii="Arial"/>
                <w:sz w:val="21"/>
              </w:rPr>
            </w:pPr>
          </w:p>
        </w:tc>
        <w:tc>
          <w:tcPr>
            <w:tcW w:w="720" w:type="dxa"/>
            <w:vAlign w:val="top"/>
          </w:tcPr>
          <w:p w14:paraId="243B1925">
            <w:pPr>
              <w:rPr>
                <w:rFonts w:ascii="Arial"/>
                <w:sz w:val="21"/>
              </w:rPr>
            </w:pPr>
          </w:p>
        </w:tc>
        <w:tc>
          <w:tcPr>
            <w:tcW w:w="706" w:type="dxa"/>
            <w:vAlign w:val="top"/>
          </w:tcPr>
          <w:p w14:paraId="22BDC44D">
            <w:pPr>
              <w:rPr>
                <w:rFonts w:ascii="Arial"/>
                <w:sz w:val="21"/>
              </w:rPr>
            </w:pPr>
          </w:p>
        </w:tc>
      </w:tr>
      <w:tr w14:paraId="6469F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23F0A488">
            <w:pPr>
              <w:rPr>
                <w:rFonts w:ascii="Arial"/>
                <w:sz w:val="21"/>
              </w:rPr>
            </w:pPr>
          </w:p>
        </w:tc>
        <w:tc>
          <w:tcPr>
            <w:tcW w:w="854" w:type="dxa"/>
            <w:vMerge w:val="continue"/>
            <w:tcBorders>
              <w:top w:val="nil"/>
              <w:bottom w:val="nil"/>
            </w:tcBorders>
            <w:vAlign w:val="top"/>
          </w:tcPr>
          <w:p w14:paraId="3580FAD3">
            <w:pPr>
              <w:rPr>
                <w:rFonts w:ascii="Arial"/>
                <w:sz w:val="21"/>
              </w:rPr>
            </w:pPr>
          </w:p>
        </w:tc>
        <w:tc>
          <w:tcPr>
            <w:tcW w:w="2324" w:type="dxa"/>
            <w:vAlign w:val="top"/>
          </w:tcPr>
          <w:p w14:paraId="3DF9964C">
            <w:pPr>
              <w:spacing w:before="62" w:line="236" w:lineRule="auto"/>
              <w:ind w:left="110"/>
              <w:rPr>
                <w:rFonts w:ascii="楷体" w:hAnsi="楷体" w:eastAsia="楷体" w:cs="楷体"/>
                <w:sz w:val="19"/>
                <w:szCs w:val="19"/>
              </w:rPr>
            </w:pPr>
            <w:r>
              <w:rPr>
                <w:rFonts w:ascii="楷体" w:hAnsi="楷体" w:eastAsia="楷体" w:cs="楷体"/>
                <w:spacing w:val="7"/>
                <w:sz w:val="19"/>
                <w:szCs w:val="19"/>
              </w:rPr>
              <w:t>2.重复申请</w:t>
            </w:r>
          </w:p>
        </w:tc>
        <w:tc>
          <w:tcPr>
            <w:tcW w:w="630" w:type="dxa"/>
            <w:vAlign w:val="top"/>
          </w:tcPr>
          <w:p w14:paraId="5072D59B">
            <w:pPr>
              <w:rPr>
                <w:rFonts w:ascii="Arial"/>
                <w:sz w:val="21"/>
              </w:rPr>
            </w:pPr>
          </w:p>
        </w:tc>
        <w:tc>
          <w:tcPr>
            <w:tcW w:w="765" w:type="dxa"/>
            <w:vAlign w:val="top"/>
          </w:tcPr>
          <w:p w14:paraId="65B2C51B">
            <w:pPr>
              <w:rPr>
                <w:rFonts w:ascii="Arial"/>
                <w:sz w:val="21"/>
              </w:rPr>
            </w:pPr>
          </w:p>
        </w:tc>
        <w:tc>
          <w:tcPr>
            <w:tcW w:w="765" w:type="dxa"/>
            <w:vAlign w:val="top"/>
          </w:tcPr>
          <w:p w14:paraId="175BECC2">
            <w:pPr>
              <w:rPr>
                <w:rFonts w:ascii="Arial"/>
                <w:sz w:val="21"/>
              </w:rPr>
            </w:pPr>
          </w:p>
        </w:tc>
        <w:tc>
          <w:tcPr>
            <w:tcW w:w="824" w:type="dxa"/>
            <w:vAlign w:val="top"/>
          </w:tcPr>
          <w:p w14:paraId="5CD93EDF">
            <w:pPr>
              <w:rPr>
                <w:rFonts w:ascii="Arial"/>
                <w:sz w:val="21"/>
              </w:rPr>
            </w:pPr>
          </w:p>
        </w:tc>
        <w:tc>
          <w:tcPr>
            <w:tcW w:w="989" w:type="dxa"/>
            <w:vAlign w:val="top"/>
          </w:tcPr>
          <w:p w14:paraId="2A70CA45">
            <w:pPr>
              <w:rPr>
                <w:rFonts w:ascii="Arial"/>
                <w:sz w:val="21"/>
              </w:rPr>
            </w:pPr>
          </w:p>
        </w:tc>
        <w:tc>
          <w:tcPr>
            <w:tcW w:w="720" w:type="dxa"/>
            <w:vAlign w:val="top"/>
          </w:tcPr>
          <w:p w14:paraId="1189C40F">
            <w:pPr>
              <w:rPr>
                <w:rFonts w:ascii="Arial"/>
                <w:sz w:val="21"/>
              </w:rPr>
            </w:pPr>
          </w:p>
        </w:tc>
        <w:tc>
          <w:tcPr>
            <w:tcW w:w="706" w:type="dxa"/>
            <w:vAlign w:val="top"/>
          </w:tcPr>
          <w:p w14:paraId="7F83E4E4">
            <w:pPr>
              <w:rPr>
                <w:rFonts w:ascii="Arial"/>
                <w:sz w:val="21"/>
              </w:rPr>
            </w:pPr>
          </w:p>
        </w:tc>
      </w:tr>
      <w:tr w14:paraId="74490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690DF6FE">
            <w:pPr>
              <w:rPr>
                <w:rFonts w:ascii="Arial"/>
                <w:sz w:val="21"/>
              </w:rPr>
            </w:pPr>
          </w:p>
        </w:tc>
        <w:tc>
          <w:tcPr>
            <w:tcW w:w="854" w:type="dxa"/>
            <w:vMerge w:val="continue"/>
            <w:tcBorders>
              <w:top w:val="nil"/>
              <w:bottom w:val="nil"/>
            </w:tcBorders>
            <w:vAlign w:val="top"/>
          </w:tcPr>
          <w:p w14:paraId="3D518D29">
            <w:pPr>
              <w:rPr>
                <w:rFonts w:ascii="Arial"/>
                <w:sz w:val="21"/>
              </w:rPr>
            </w:pPr>
          </w:p>
        </w:tc>
        <w:tc>
          <w:tcPr>
            <w:tcW w:w="2324" w:type="dxa"/>
            <w:vAlign w:val="top"/>
          </w:tcPr>
          <w:p w14:paraId="378902BC">
            <w:pPr>
              <w:spacing w:before="61" w:line="237" w:lineRule="auto"/>
              <w:ind w:left="111"/>
              <w:rPr>
                <w:rFonts w:ascii="楷体" w:hAnsi="楷体" w:eastAsia="楷体" w:cs="楷体"/>
                <w:sz w:val="19"/>
                <w:szCs w:val="19"/>
              </w:rPr>
            </w:pPr>
            <w:r>
              <w:rPr>
                <w:rFonts w:ascii="楷体" w:hAnsi="楷体" w:eastAsia="楷体" w:cs="楷体"/>
                <w:spacing w:val="8"/>
                <w:sz w:val="19"/>
                <w:szCs w:val="19"/>
              </w:rPr>
              <w:t>3.要求提供公开出版物</w:t>
            </w:r>
          </w:p>
        </w:tc>
        <w:tc>
          <w:tcPr>
            <w:tcW w:w="630" w:type="dxa"/>
            <w:vAlign w:val="top"/>
          </w:tcPr>
          <w:p w14:paraId="77302CE0">
            <w:pPr>
              <w:rPr>
                <w:rFonts w:ascii="Arial"/>
                <w:sz w:val="21"/>
              </w:rPr>
            </w:pPr>
          </w:p>
        </w:tc>
        <w:tc>
          <w:tcPr>
            <w:tcW w:w="765" w:type="dxa"/>
            <w:vAlign w:val="top"/>
          </w:tcPr>
          <w:p w14:paraId="3BB6CB64">
            <w:pPr>
              <w:rPr>
                <w:rFonts w:ascii="Arial"/>
                <w:sz w:val="21"/>
              </w:rPr>
            </w:pPr>
          </w:p>
        </w:tc>
        <w:tc>
          <w:tcPr>
            <w:tcW w:w="765" w:type="dxa"/>
            <w:vAlign w:val="top"/>
          </w:tcPr>
          <w:p w14:paraId="351C312B">
            <w:pPr>
              <w:rPr>
                <w:rFonts w:ascii="Arial"/>
                <w:sz w:val="21"/>
              </w:rPr>
            </w:pPr>
          </w:p>
        </w:tc>
        <w:tc>
          <w:tcPr>
            <w:tcW w:w="824" w:type="dxa"/>
            <w:vAlign w:val="top"/>
          </w:tcPr>
          <w:p w14:paraId="44E2B7FD">
            <w:pPr>
              <w:rPr>
                <w:rFonts w:ascii="Arial"/>
                <w:sz w:val="21"/>
              </w:rPr>
            </w:pPr>
          </w:p>
        </w:tc>
        <w:tc>
          <w:tcPr>
            <w:tcW w:w="989" w:type="dxa"/>
            <w:vAlign w:val="top"/>
          </w:tcPr>
          <w:p w14:paraId="3F856314">
            <w:pPr>
              <w:rPr>
                <w:rFonts w:ascii="Arial"/>
                <w:sz w:val="21"/>
              </w:rPr>
            </w:pPr>
          </w:p>
        </w:tc>
        <w:tc>
          <w:tcPr>
            <w:tcW w:w="720" w:type="dxa"/>
            <w:vAlign w:val="top"/>
          </w:tcPr>
          <w:p w14:paraId="280FD046">
            <w:pPr>
              <w:rPr>
                <w:rFonts w:ascii="Arial"/>
                <w:sz w:val="21"/>
              </w:rPr>
            </w:pPr>
          </w:p>
        </w:tc>
        <w:tc>
          <w:tcPr>
            <w:tcW w:w="706" w:type="dxa"/>
            <w:vAlign w:val="top"/>
          </w:tcPr>
          <w:p w14:paraId="02AA5BFE">
            <w:pPr>
              <w:rPr>
                <w:rFonts w:ascii="Arial"/>
                <w:sz w:val="21"/>
              </w:rPr>
            </w:pPr>
          </w:p>
        </w:tc>
      </w:tr>
      <w:tr w14:paraId="526A3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98" w:type="dxa"/>
            <w:vMerge w:val="continue"/>
            <w:tcBorders>
              <w:top w:val="nil"/>
              <w:bottom w:val="nil"/>
            </w:tcBorders>
            <w:textDirection w:val="tbRlV"/>
            <w:vAlign w:val="top"/>
          </w:tcPr>
          <w:p w14:paraId="32B71CF4">
            <w:pPr>
              <w:rPr>
                <w:rFonts w:ascii="Arial"/>
                <w:sz w:val="21"/>
              </w:rPr>
            </w:pPr>
          </w:p>
        </w:tc>
        <w:tc>
          <w:tcPr>
            <w:tcW w:w="854" w:type="dxa"/>
            <w:vMerge w:val="continue"/>
            <w:tcBorders>
              <w:top w:val="nil"/>
              <w:bottom w:val="nil"/>
            </w:tcBorders>
            <w:vAlign w:val="top"/>
          </w:tcPr>
          <w:p w14:paraId="399E9C42">
            <w:pPr>
              <w:rPr>
                <w:rFonts w:ascii="Arial"/>
                <w:sz w:val="21"/>
              </w:rPr>
            </w:pPr>
          </w:p>
        </w:tc>
        <w:tc>
          <w:tcPr>
            <w:tcW w:w="2324" w:type="dxa"/>
            <w:vAlign w:val="top"/>
          </w:tcPr>
          <w:p w14:paraId="05B9293E">
            <w:pPr>
              <w:spacing w:before="61" w:line="271" w:lineRule="auto"/>
              <w:ind w:left="134" w:right="213" w:hanging="28"/>
              <w:rPr>
                <w:rFonts w:ascii="楷体" w:hAnsi="楷体" w:eastAsia="楷体" w:cs="楷体"/>
                <w:sz w:val="19"/>
                <w:szCs w:val="19"/>
              </w:rPr>
            </w:pPr>
            <w:r>
              <w:rPr>
                <w:rFonts w:ascii="楷体" w:hAnsi="楷体" w:eastAsia="楷体" w:cs="楷体"/>
                <w:spacing w:val="8"/>
                <w:sz w:val="19"/>
                <w:szCs w:val="19"/>
              </w:rPr>
              <w:t>4.无正当理由大量反复</w:t>
            </w:r>
            <w:r>
              <w:rPr>
                <w:rFonts w:ascii="楷体" w:hAnsi="楷体" w:eastAsia="楷体" w:cs="楷体"/>
                <w:spacing w:val="9"/>
                <w:sz w:val="19"/>
                <w:szCs w:val="19"/>
              </w:rPr>
              <w:t xml:space="preserve"> </w:t>
            </w:r>
            <w:r>
              <w:rPr>
                <w:rFonts w:ascii="楷体" w:hAnsi="楷体" w:eastAsia="楷体" w:cs="楷体"/>
                <w:spacing w:val="-7"/>
                <w:sz w:val="19"/>
                <w:szCs w:val="19"/>
              </w:rPr>
              <w:t>申请</w:t>
            </w:r>
          </w:p>
        </w:tc>
        <w:tc>
          <w:tcPr>
            <w:tcW w:w="630" w:type="dxa"/>
            <w:vAlign w:val="top"/>
          </w:tcPr>
          <w:p w14:paraId="61B04E8E">
            <w:pPr>
              <w:rPr>
                <w:rFonts w:ascii="Arial"/>
                <w:sz w:val="21"/>
              </w:rPr>
            </w:pPr>
          </w:p>
        </w:tc>
        <w:tc>
          <w:tcPr>
            <w:tcW w:w="765" w:type="dxa"/>
            <w:vAlign w:val="top"/>
          </w:tcPr>
          <w:p w14:paraId="4A150AEA">
            <w:pPr>
              <w:rPr>
                <w:rFonts w:ascii="Arial"/>
                <w:sz w:val="21"/>
              </w:rPr>
            </w:pPr>
          </w:p>
        </w:tc>
        <w:tc>
          <w:tcPr>
            <w:tcW w:w="765" w:type="dxa"/>
            <w:vAlign w:val="top"/>
          </w:tcPr>
          <w:p w14:paraId="76EA80ED">
            <w:pPr>
              <w:rPr>
                <w:rFonts w:ascii="Arial"/>
                <w:sz w:val="21"/>
              </w:rPr>
            </w:pPr>
          </w:p>
        </w:tc>
        <w:tc>
          <w:tcPr>
            <w:tcW w:w="824" w:type="dxa"/>
            <w:vAlign w:val="top"/>
          </w:tcPr>
          <w:p w14:paraId="61DE0CC8">
            <w:pPr>
              <w:rPr>
                <w:rFonts w:ascii="Arial"/>
                <w:sz w:val="21"/>
              </w:rPr>
            </w:pPr>
          </w:p>
        </w:tc>
        <w:tc>
          <w:tcPr>
            <w:tcW w:w="989" w:type="dxa"/>
            <w:vAlign w:val="top"/>
          </w:tcPr>
          <w:p w14:paraId="00A97C70">
            <w:pPr>
              <w:rPr>
                <w:rFonts w:ascii="Arial"/>
                <w:sz w:val="21"/>
              </w:rPr>
            </w:pPr>
          </w:p>
        </w:tc>
        <w:tc>
          <w:tcPr>
            <w:tcW w:w="720" w:type="dxa"/>
            <w:vAlign w:val="top"/>
          </w:tcPr>
          <w:p w14:paraId="71D29384">
            <w:pPr>
              <w:rPr>
                <w:rFonts w:ascii="Arial"/>
                <w:sz w:val="21"/>
              </w:rPr>
            </w:pPr>
          </w:p>
        </w:tc>
        <w:tc>
          <w:tcPr>
            <w:tcW w:w="706" w:type="dxa"/>
            <w:vAlign w:val="top"/>
          </w:tcPr>
          <w:p w14:paraId="440A5606">
            <w:pPr>
              <w:rPr>
                <w:rFonts w:ascii="Arial"/>
                <w:sz w:val="21"/>
              </w:rPr>
            </w:pPr>
          </w:p>
        </w:tc>
      </w:tr>
      <w:tr w14:paraId="5B827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98" w:type="dxa"/>
            <w:vMerge w:val="continue"/>
            <w:tcBorders>
              <w:top w:val="nil"/>
              <w:bottom w:val="nil"/>
            </w:tcBorders>
            <w:textDirection w:val="tbRlV"/>
            <w:vAlign w:val="top"/>
          </w:tcPr>
          <w:p w14:paraId="6ACFBEDF">
            <w:pPr>
              <w:rPr>
                <w:rFonts w:ascii="Arial"/>
                <w:sz w:val="21"/>
              </w:rPr>
            </w:pPr>
          </w:p>
        </w:tc>
        <w:tc>
          <w:tcPr>
            <w:tcW w:w="854" w:type="dxa"/>
            <w:vMerge w:val="continue"/>
            <w:tcBorders>
              <w:top w:val="nil"/>
            </w:tcBorders>
            <w:vAlign w:val="top"/>
          </w:tcPr>
          <w:p w14:paraId="7261BBB3">
            <w:pPr>
              <w:rPr>
                <w:rFonts w:ascii="Arial"/>
                <w:sz w:val="21"/>
              </w:rPr>
            </w:pPr>
          </w:p>
        </w:tc>
        <w:tc>
          <w:tcPr>
            <w:tcW w:w="2324" w:type="dxa"/>
            <w:vAlign w:val="top"/>
          </w:tcPr>
          <w:p w14:paraId="42D67711">
            <w:pPr>
              <w:spacing w:before="60" w:line="271" w:lineRule="auto"/>
              <w:ind w:left="116" w:right="213" w:hanging="9"/>
              <w:rPr>
                <w:rFonts w:ascii="楷体" w:hAnsi="楷体" w:eastAsia="楷体" w:cs="楷体"/>
                <w:sz w:val="19"/>
                <w:szCs w:val="19"/>
              </w:rPr>
            </w:pPr>
            <w:r>
              <w:rPr>
                <w:rFonts w:ascii="楷体" w:hAnsi="楷体" w:eastAsia="楷体" w:cs="楷体"/>
                <w:spacing w:val="8"/>
                <w:sz w:val="19"/>
                <w:szCs w:val="19"/>
              </w:rPr>
              <w:t>5.要求行政机关确认或</w:t>
            </w:r>
            <w:r>
              <w:rPr>
                <w:rFonts w:ascii="楷体" w:hAnsi="楷体" w:eastAsia="楷体" w:cs="楷体"/>
                <w:spacing w:val="9"/>
                <w:sz w:val="19"/>
                <w:szCs w:val="19"/>
              </w:rPr>
              <w:t xml:space="preserve"> </w:t>
            </w:r>
            <w:r>
              <w:rPr>
                <w:rFonts w:ascii="楷体" w:hAnsi="楷体" w:eastAsia="楷体" w:cs="楷体"/>
                <w:spacing w:val="8"/>
                <w:sz w:val="19"/>
                <w:szCs w:val="19"/>
              </w:rPr>
              <w:t>重新出具已获取信息</w:t>
            </w:r>
          </w:p>
        </w:tc>
        <w:tc>
          <w:tcPr>
            <w:tcW w:w="630" w:type="dxa"/>
            <w:vAlign w:val="top"/>
          </w:tcPr>
          <w:p w14:paraId="190F24C2">
            <w:pPr>
              <w:rPr>
                <w:rFonts w:ascii="Arial"/>
                <w:sz w:val="21"/>
              </w:rPr>
            </w:pPr>
          </w:p>
        </w:tc>
        <w:tc>
          <w:tcPr>
            <w:tcW w:w="765" w:type="dxa"/>
            <w:vAlign w:val="top"/>
          </w:tcPr>
          <w:p w14:paraId="14D07FE4">
            <w:pPr>
              <w:rPr>
                <w:rFonts w:ascii="Arial"/>
                <w:sz w:val="21"/>
              </w:rPr>
            </w:pPr>
          </w:p>
        </w:tc>
        <w:tc>
          <w:tcPr>
            <w:tcW w:w="765" w:type="dxa"/>
            <w:vAlign w:val="top"/>
          </w:tcPr>
          <w:p w14:paraId="7954899B">
            <w:pPr>
              <w:rPr>
                <w:rFonts w:ascii="Arial"/>
                <w:sz w:val="21"/>
              </w:rPr>
            </w:pPr>
          </w:p>
        </w:tc>
        <w:tc>
          <w:tcPr>
            <w:tcW w:w="824" w:type="dxa"/>
            <w:vAlign w:val="top"/>
          </w:tcPr>
          <w:p w14:paraId="57218976">
            <w:pPr>
              <w:rPr>
                <w:rFonts w:ascii="Arial"/>
                <w:sz w:val="21"/>
              </w:rPr>
            </w:pPr>
          </w:p>
        </w:tc>
        <w:tc>
          <w:tcPr>
            <w:tcW w:w="989" w:type="dxa"/>
            <w:vAlign w:val="top"/>
          </w:tcPr>
          <w:p w14:paraId="4E0D4147">
            <w:pPr>
              <w:rPr>
                <w:rFonts w:ascii="Arial"/>
                <w:sz w:val="21"/>
              </w:rPr>
            </w:pPr>
          </w:p>
        </w:tc>
        <w:tc>
          <w:tcPr>
            <w:tcW w:w="720" w:type="dxa"/>
            <w:vAlign w:val="top"/>
          </w:tcPr>
          <w:p w14:paraId="0AD702FB">
            <w:pPr>
              <w:rPr>
                <w:rFonts w:ascii="Arial"/>
                <w:sz w:val="21"/>
              </w:rPr>
            </w:pPr>
          </w:p>
        </w:tc>
        <w:tc>
          <w:tcPr>
            <w:tcW w:w="706" w:type="dxa"/>
            <w:vAlign w:val="top"/>
          </w:tcPr>
          <w:p w14:paraId="3026D39C">
            <w:pPr>
              <w:rPr>
                <w:rFonts w:ascii="Arial"/>
                <w:sz w:val="21"/>
              </w:rPr>
            </w:pPr>
          </w:p>
        </w:tc>
      </w:tr>
      <w:tr w14:paraId="0AF0A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bottom w:val="nil"/>
            </w:tcBorders>
            <w:textDirection w:val="tbRlV"/>
            <w:vAlign w:val="top"/>
          </w:tcPr>
          <w:p w14:paraId="2632A380">
            <w:pPr>
              <w:rPr>
                <w:rFonts w:ascii="Arial"/>
                <w:sz w:val="21"/>
              </w:rPr>
            </w:pPr>
          </w:p>
        </w:tc>
        <w:tc>
          <w:tcPr>
            <w:tcW w:w="3178" w:type="dxa"/>
            <w:gridSpan w:val="2"/>
            <w:vAlign w:val="top"/>
          </w:tcPr>
          <w:p w14:paraId="6591C462">
            <w:pPr>
              <w:spacing w:before="61" w:line="234" w:lineRule="auto"/>
              <w:ind w:left="129"/>
              <w:rPr>
                <w:rFonts w:ascii="楷体" w:hAnsi="楷体" w:eastAsia="楷体" w:cs="楷体"/>
                <w:sz w:val="19"/>
                <w:szCs w:val="19"/>
              </w:rPr>
            </w:pPr>
            <w:r>
              <w:rPr>
                <w:rFonts w:ascii="楷体" w:hAnsi="楷体" w:eastAsia="楷体" w:cs="楷体"/>
                <w:spacing w:val="6"/>
                <w:sz w:val="19"/>
                <w:szCs w:val="19"/>
              </w:rPr>
              <w:t>（六）其他处理</w:t>
            </w:r>
          </w:p>
        </w:tc>
        <w:tc>
          <w:tcPr>
            <w:tcW w:w="630" w:type="dxa"/>
            <w:vAlign w:val="top"/>
          </w:tcPr>
          <w:p w14:paraId="3B6DF8A4">
            <w:pPr>
              <w:rPr>
                <w:rFonts w:ascii="Arial"/>
                <w:sz w:val="21"/>
              </w:rPr>
            </w:pPr>
          </w:p>
        </w:tc>
        <w:tc>
          <w:tcPr>
            <w:tcW w:w="765" w:type="dxa"/>
            <w:vAlign w:val="top"/>
          </w:tcPr>
          <w:p w14:paraId="14B29B7E">
            <w:pPr>
              <w:rPr>
                <w:rFonts w:ascii="Arial"/>
                <w:sz w:val="21"/>
              </w:rPr>
            </w:pPr>
          </w:p>
        </w:tc>
        <w:tc>
          <w:tcPr>
            <w:tcW w:w="765" w:type="dxa"/>
            <w:vAlign w:val="top"/>
          </w:tcPr>
          <w:p w14:paraId="3C9F49E2">
            <w:pPr>
              <w:rPr>
                <w:rFonts w:ascii="Arial"/>
                <w:sz w:val="21"/>
              </w:rPr>
            </w:pPr>
          </w:p>
        </w:tc>
        <w:tc>
          <w:tcPr>
            <w:tcW w:w="824" w:type="dxa"/>
            <w:vAlign w:val="top"/>
          </w:tcPr>
          <w:p w14:paraId="72875E2D">
            <w:pPr>
              <w:rPr>
                <w:rFonts w:ascii="Arial"/>
                <w:sz w:val="21"/>
              </w:rPr>
            </w:pPr>
          </w:p>
        </w:tc>
        <w:tc>
          <w:tcPr>
            <w:tcW w:w="989" w:type="dxa"/>
            <w:vAlign w:val="top"/>
          </w:tcPr>
          <w:p w14:paraId="717E2AC4">
            <w:pPr>
              <w:rPr>
                <w:rFonts w:ascii="Arial"/>
                <w:sz w:val="21"/>
              </w:rPr>
            </w:pPr>
          </w:p>
        </w:tc>
        <w:tc>
          <w:tcPr>
            <w:tcW w:w="720" w:type="dxa"/>
            <w:vAlign w:val="top"/>
          </w:tcPr>
          <w:p w14:paraId="418B02D0">
            <w:pPr>
              <w:rPr>
                <w:rFonts w:ascii="Arial"/>
                <w:sz w:val="21"/>
              </w:rPr>
            </w:pPr>
          </w:p>
        </w:tc>
        <w:tc>
          <w:tcPr>
            <w:tcW w:w="706" w:type="dxa"/>
            <w:vAlign w:val="top"/>
          </w:tcPr>
          <w:p w14:paraId="1E07B54D">
            <w:pPr>
              <w:rPr>
                <w:rFonts w:ascii="Arial"/>
                <w:sz w:val="21"/>
              </w:rPr>
            </w:pPr>
          </w:p>
        </w:tc>
      </w:tr>
      <w:tr w14:paraId="5B599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98" w:type="dxa"/>
            <w:vMerge w:val="continue"/>
            <w:tcBorders>
              <w:top w:val="nil"/>
            </w:tcBorders>
            <w:textDirection w:val="tbRlV"/>
            <w:vAlign w:val="top"/>
          </w:tcPr>
          <w:p w14:paraId="552D0A2F">
            <w:pPr>
              <w:rPr>
                <w:rFonts w:ascii="Arial"/>
                <w:sz w:val="21"/>
              </w:rPr>
            </w:pPr>
          </w:p>
        </w:tc>
        <w:tc>
          <w:tcPr>
            <w:tcW w:w="3178" w:type="dxa"/>
            <w:gridSpan w:val="2"/>
            <w:vAlign w:val="top"/>
          </w:tcPr>
          <w:p w14:paraId="66392591">
            <w:pPr>
              <w:spacing w:before="63" w:line="237" w:lineRule="auto"/>
              <w:ind w:left="129"/>
              <w:rPr>
                <w:rFonts w:ascii="楷体" w:hAnsi="楷体" w:eastAsia="楷体" w:cs="楷体"/>
                <w:sz w:val="19"/>
                <w:szCs w:val="19"/>
              </w:rPr>
            </w:pPr>
            <w:r>
              <w:rPr>
                <w:rFonts w:ascii="楷体" w:hAnsi="楷体" w:eastAsia="楷体" w:cs="楷体"/>
                <w:spacing w:val="4"/>
                <w:sz w:val="19"/>
                <w:szCs w:val="19"/>
              </w:rPr>
              <w:t>（七）总计</w:t>
            </w:r>
          </w:p>
        </w:tc>
        <w:tc>
          <w:tcPr>
            <w:tcW w:w="630" w:type="dxa"/>
            <w:vAlign w:val="top"/>
          </w:tcPr>
          <w:p w14:paraId="1BCD9174">
            <w:pPr>
              <w:rPr>
                <w:rFonts w:ascii="Arial"/>
                <w:sz w:val="21"/>
              </w:rPr>
            </w:pPr>
          </w:p>
        </w:tc>
        <w:tc>
          <w:tcPr>
            <w:tcW w:w="765" w:type="dxa"/>
            <w:vAlign w:val="top"/>
          </w:tcPr>
          <w:p w14:paraId="04192B67">
            <w:pPr>
              <w:rPr>
                <w:rFonts w:ascii="Arial"/>
                <w:sz w:val="21"/>
              </w:rPr>
            </w:pPr>
          </w:p>
        </w:tc>
        <w:tc>
          <w:tcPr>
            <w:tcW w:w="765" w:type="dxa"/>
            <w:vAlign w:val="top"/>
          </w:tcPr>
          <w:p w14:paraId="68D7234A">
            <w:pPr>
              <w:rPr>
                <w:rFonts w:ascii="Arial"/>
                <w:sz w:val="21"/>
              </w:rPr>
            </w:pPr>
          </w:p>
        </w:tc>
        <w:tc>
          <w:tcPr>
            <w:tcW w:w="824" w:type="dxa"/>
            <w:vAlign w:val="top"/>
          </w:tcPr>
          <w:p w14:paraId="237204E6">
            <w:pPr>
              <w:rPr>
                <w:rFonts w:ascii="Arial"/>
                <w:sz w:val="21"/>
              </w:rPr>
            </w:pPr>
          </w:p>
        </w:tc>
        <w:tc>
          <w:tcPr>
            <w:tcW w:w="989" w:type="dxa"/>
            <w:vAlign w:val="top"/>
          </w:tcPr>
          <w:p w14:paraId="011F8F4C">
            <w:pPr>
              <w:rPr>
                <w:rFonts w:ascii="Arial"/>
                <w:sz w:val="21"/>
              </w:rPr>
            </w:pPr>
          </w:p>
        </w:tc>
        <w:tc>
          <w:tcPr>
            <w:tcW w:w="720" w:type="dxa"/>
            <w:vAlign w:val="top"/>
          </w:tcPr>
          <w:p w14:paraId="394E84ED">
            <w:pPr>
              <w:rPr>
                <w:rFonts w:ascii="Arial"/>
                <w:sz w:val="21"/>
              </w:rPr>
            </w:pPr>
          </w:p>
        </w:tc>
        <w:tc>
          <w:tcPr>
            <w:tcW w:w="706" w:type="dxa"/>
            <w:vAlign w:val="top"/>
          </w:tcPr>
          <w:p w14:paraId="288CB25A">
            <w:pPr>
              <w:rPr>
                <w:rFonts w:ascii="Arial"/>
                <w:sz w:val="21"/>
              </w:rPr>
            </w:pPr>
          </w:p>
        </w:tc>
      </w:tr>
      <w:tr w14:paraId="0A0C1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676" w:type="dxa"/>
            <w:gridSpan w:val="3"/>
            <w:vAlign w:val="top"/>
          </w:tcPr>
          <w:p w14:paraId="22BD0E27">
            <w:pPr>
              <w:pStyle w:val="6"/>
              <w:spacing w:before="182" w:line="229" w:lineRule="auto"/>
              <w:ind w:left="133"/>
            </w:pPr>
            <w:r>
              <w:rPr>
                <w:spacing w:val="7"/>
              </w:rPr>
              <w:t>四、结转下年度继续办理</w:t>
            </w:r>
          </w:p>
        </w:tc>
        <w:tc>
          <w:tcPr>
            <w:tcW w:w="630" w:type="dxa"/>
            <w:vAlign w:val="top"/>
          </w:tcPr>
          <w:p w14:paraId="00B8CB64">
            <w:pPr>
              <w:rPr>
                <w:rFonts w:ascii="Arial"/>
                <w:sz w:val="21"/>
              </w:rPr>
            </w:pPr>
          </w:p>
        </w:tc>
        <w:tc>
          <w:tcPr>
            <w:tcW w:w="765" w:type="dxa"/>
            <w:vAlign w:val="top"/>
          </w:tcPr>
          <w:p w14:paraId="33794066">
            <w:pPr>
              <w:rPr>
                <w:rFonts w:ascii="Arial"/>
                <w:sz w:val="21"/>
              </w:rPr>
            </w:pPr>
          </w:p>
        </w:tc>
        <w:tc>
          <w:tcPr>
            <w:tcW w:w="765" w:type="dxa"/>
            <w:vAlign w:val="top"/>
          </w:tcPr>
          <w:p w14:paraId="3FE57390">
            <w:pPr>
              <w:rPr>
                <w:rFonts w:ascii="Arial"/>
                <w:sz w:val="21"/>
              </w:rPr>
            </w:pPr>
          </w:p>
        </w:tc>
        <w:tc>
          <w:tcPr>
            <w:tcW w:w="824" w:type="dxa"/>
            <w:vAlign w:val="top"/>
          </w:tcPr>
          <w:p w14:paraId="17927A47">
            <w:pPr>
              <w:rPr>
                <w:rFonts w:ascii="Arial"/>
                <w:sz w:val="21"/>
              </w:rPr>
            </w:pPr>
          </w:p>
        </w:tc>
        <w:tc>
          <w:tcPr>
            <w:tcW w:w="989" w:type="dxa"/>
            <w:vAlign w:val="top"/>
          </w:tcPr>
          <w:p w14:paraId="3A39E2A7">
            <w:pPr>
              <w:rPr>
                <w:rFonts w:ascii="Arial"/>
                <w:sz w:val="21"/>
              </w:rPr>
            </w:pPr>
          </w:p>
        </w:tc>
        <w:tc>
          <w:tcPr>
            <w:tcW w:w="720" w:type="dxa"/>
            <w:vAlign w:val="top"/>
          </w:tcPr>
          <w:p w14:paraId="5CE96AE0">
            <w:pPr>
              <w:rPr>
                <w:rFonts w:ascii="Arial"/>
                <w:sz w:val="21"/>
              </w:rPr>
            </w:pPr>
          </w:p>
        </w:tc>
        <w:tc>
          <w:tcPr>
            <w:tcW w:w="706" w:type="dxa"/>
            <w:vAlign w:val="top"/>
          </w:tcPr>
          <w:p w14:paraId="1B3A63A1">
            <w:pPr>
              <w:rPr>
                <w:rFonts w:ascii="Arial"/>
                <w:sz w:val="21"/>
              </w:rPr>
            </w:pPr>
          </w:p>
        </w:tc>
      </w:tr>
    </w:tbl>
    <w:p w14:paraId="21F16AA4">
      <w:pPr>
        <w:spacing w:before="185" w:line="241" w:lineRule="auto"/>
        <w:ind w:left="156" w:firstLine="672" w:firstLineChars="200"/>
        <w:rPr>
          <w:rFonts w:hint="eastAsia" w:ascii="方正黑体_GBK" w:hAnsi="方正黑体_GBK" w:eastAsia="方正黑体_GBK" w:cs="方正黑体_GBK"/>
          <w:snapToGrid w:val="0"/>
          <w:color w:val="000000"/>
          <w:spacing w:val="8"/>
          <w:kern w:val="0"/>
          <w:sz w:val="32"/>
          <w:szCs w:val="32"/>
          <w:lang w:val="en-US" w:eastAsia="en-US" w:bidi="ar-SA"/>
        </w:rPr>
      </w:pPr>
      <w:r>
        <w:rPr>
          <w:rFonts w:hint="eastAsia" w:ascii="方正黑体_GBK" w:hAnsi="方正黑体_GBK" w:eastAsia="方正黑体_GBK" w:cs="方正黑体_GBK"/>
          <w:snapToGrid w:val="0"/>
          <w:color w:val="000000"/>
          <w:spacing w:val="8"/>
          <w:kern w:val="0"/>
          <w:sz w:val="32"/>
          <w:szCs w:val="32"/>
          <w:lang w:val="en-US" w:eastAsia="en-US" w:bidi="ar-SA"/>
        </w:rPr>
        <w:t>四、政府信息公开行政复议、行政诉讼情况</w:t>
      </w:r>
    </w:p>
    <w:tbl>
      <w:tblPr>
        <w:tblStyle w:val="5"/>
        <w:tblW w:w="90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8"/>
        <w:gridCol w:w="604"/>
        <w:gridCol w:w="604"/>
        <w:gridCol w:w="604"/>
        <w:gridCol w:w="657"/>
        <w:gridCol w:w="550"/>
        <w:gridCol w:w="604"/>
        <w:gridCol w:w="604"/>
        <w:gridCol w:w="605"/>
        <w:gridCol w:w="605"/>
        <w:gridCol w:w="605"/>
        <w:gridCol w:w="605"/>
        <w:gridCol w:w="605"/>
        <w:gridCol w:w="605"/>
        <w:gridCol w:w="610"/>
      </w:tblGrid>
      <w:tr w14:paraId="4CC5E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3077" w:type="dxa"/>
            <w:gridSpan w:val="5"/>
            <w:vAlign w:val="top"/>
          </w:tcPr>
          <w:p w14:paraId="470BC269">
            <w:pPr>
              <w:pStyle w:val="6"/>
              <w:spacing w:before="61" w:line="230" w:lineRule="auto"/>
              <w:ind w:left="1147"/>
            </w:pPr>
            <w:r>
              <w:rPr>
                <w:spacing w:val="7"/>
              </w:rPr>
              <w:t>行政复议</w:t>
            </w:r>
          </w:p>
        </w:tc>
        <w:tc>
          <w:tcPr>
            <w:tcW w:w="5998" w:type="dxa"/>
            <w:gridSpan w:val="10"/>
            <w:vAlign w:val="top"/>
          </w:tcPr>
          <w:p w14:paraId="14A66203">
            <w:pPr>
              <w:pStyle w:val="6"/>
              <w:spacing w:before="61" w:line="230" w:lineRule="auto"/>
              <w:ind w:left="2604"/>
            </w:pPr>
            <w:r>
              <w:rPr>
                <w:spacing w:val="7"/>
              </w:rPr>
              <w:t>行政诉讼</w:t>
            </w:r>
          </w:p>
        </w:tc>
      </w:tr>
      <w:tr w14:paraId="1757A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08" w:type="dxa"/>
            <w:vMerge w:val="restart"/>
            <w:tcBorders>
              <w:bottom w:val="nil"/>
            </w:tcBorders>
            <w:textDirection w:val="tbRlV"/>
            <w:vAlign w:val="top"/>
          </w:tcPr>
          <w:p w14:paraId="6C34896D">
            <w:pPr>
              <w:pStyle w:val="6"/>
              <w:spacing w:before="202" w:line="214" w:lineRule="auto"/>
              <w:ind w:left="218"/>
            </w:pPr>
            <w:r>
              <w:rPr>
                <w:spacing w:val="9"/>
              </w:rPr>
              <w:t>结</w:t>
            </w:r>
            <w:r>
              <w:rPr>
                <w:spacing w:val="18"/>
              </w:rPr>
              <w:t xml:space="preserve"> </w:t>
            </w:r>
            <w:r>
              <w:rPr>
                <w:spacing w:val="9"/>
              </w:rPr>
              <w:t>果</w:t>
            </w:r>
            <w:r>
              <w:rPr>
                <w:spacing w:val="18"/>
              </w:rPr>
              <w:t xml:space="preserve"> </w:t>
            </w:r>
            <w:r>
              <w:rPr>
                <w:spacing w:val="9"/>
              </w:rPr>
              <w:t>维</w:t>
            </w:r>
            <w:r>
              <w:rPr>
                <w:spacing w:val="17"/>
              </w:rPr>
              <w:t xml:space="preserve"> </w:t>
            </w:r>
            <w:r>
              <w:rPr>
                <w:spacing w:val="9"/>
              </w:rPr>
              <w:t>持</w:t>
            </w:r>
          </w:p>
        </w:tc>
        <w:tc>
          <w:tcPr>
            <w:tcW w:w="604" w:type="dxa"/>
            <w:vMerge w:val="restart"/>
            <w:tcBorders>
              <w:bottom w:val="nil"/>
            </w:tcBorders>
            <w:textDirection w:val="tbRlV"/>
            <w:vAlign w:val="top"/>
          </w:tcPr>
          <w:p w14:paraId="4C129E06">
            <w:pPr>
              <w:pStyle w:val="6"/>
              <w:spacing w:before="202" w:line="213" w:lineRule="auto"/>
              <w:ind w:left="218"/>
            </w:pPr>
            <w:r>
              <w:rPr>
                <w:spacing w:val="9"/>
              </w:rPr>
              <w:t>结</w:t>
            </w:r>
            <w:r>
              <w:rPr>
                <w:spacing w:val="18"/>
              </w:rPr>
              <w:t xml:space="preserve"> </w:t>
            </w:r>
            <w:r>
              <w:rPr>
                <w:spacing w:val="9"/>
              </w:rPr>
              <w:t>果</w:t>
            </w:r>
            <w:r>
              <w:rPr>
                <w:spacing w:val="18"/>
              </w:rPr>
              <w:t xml:space="preserve"> </w:t>
            </w:r>
            <w:r>
              <w:rPr>
                <w:spacing w:val="9"/>
              </w:rPr>
              <w:t>纠</w:t>
            </w:r>
            <w:r>
              <w:rPr>
                <w:spacing w:val="17"/>
              </w:rPr>
              <w:t xml:space="preserve"> </w:t>
            </w:r>
            <w:r>
              <w:rPr>
                <w:spacing w:val="9"/>
              </w:rPr>
              <w:t>正</w:t>
            </w:r>
          </w:p>
        </w:tc>
        <w:tc>
          <w:tcPr>
            <w:tcW w:w="604" w:type="dxa"/>
            <w:vMerge w:val="restart"/>
            <w:tcBorders>
              <w:bottom w:val="nil"/>
            </w:tcBorders>
            <w:textDirection w:val="tbRlV"/>
            <w:vAlign w:val="top"/>
          </w:tcPr>
          <w:p w14:paraId="15A262FE">
            <w:pPr>
              <w:pStyle w:val="6"/>
              <w:spacing w:before="201" w:line="217" w:lineRule="auto"/>
              <w:ind w:left="218"/>
            </w:pPr>
            <w:r>
              <w:rPr>
                <w:spacing w:val="9"/>
              </w:rPr>
              <w:t>其</w:t>
            </w:r>
            <w:r>
              <w:rPr>
                <w:spacing w:val="18"/>
              </w:rPr>
              <w:t xml:space="preserve"> </w:t>
            </w:r>
            <w:r>
              <w:rPr>
                <w:spacing w:val="9"/>
              </w:rPr>
              <w:t>他</w:t>
            </w:r>
            <w:r>
              <w:rPr>
                <w:spacing w:val="18"/>
              </w:rPr>
              <w:t xml:space="preserve"> </w:t>
            </w:r>
            <w:r>
              <w:rPr>
                <w:spacing w:val="9"/>
              </w:rPr>
              <w:t>结</w:t>
            </w:r>
            <w:r>
              <w:rPr>
                <w:spacing w:val="17"/>
              </w:rPr>
              <w:t xml:space="preserve"> </w:t>
            </w:r>
            <w:r>
              <w:rPr>
                <w:spacing w:val="9"/>
              </w:rPr>
              <w:t>果</w:t>
            </w:r>
          </w:p>
        </w:tc>
        <w:tc>
          <w:tcPr>
            <w:tcW w:w="604" w:type="dxa"/>
            <w:vMerge w:val="restart"/>
            <w:tcBorders>
              <w:bottom w:val="nil"/>
            </w:tcBorders>
            <w:textDirection w:val="tbRlV"/>
            <w:vAlign w:val="top"/>
          </w:tcPr>
          <w:p w14:paraId="17FCDD57">
            <w:pPr>
              <w:pStyle w:val="6"/>
              <w:spacing w:before="202" w:line="214" w:lineRule="auto"/>
              <w:ind w:left="218"/>
            </w:pPr>
            <w:r>
              <w:rPr>
                <w:spacing w:val="9"/>
              </w:rPr>
              <w:t>尚</w:t>
            </w:r>
            <w:r>
              <w:rPr>
                <w:spacing w:val="18"/>
              </w:rPr>
              <w:t xml:space="preserve"> </w:t>
            </w:r>
            <w:r>
              <w:rPr>
                <w:spacing w:val="9"/>
              </w:rPr>
              <w:t>未</w:t>
            </w:r>
            <w:r>
              <w:rPr>
                <w:spacing w:val="18"/>
              </w:rPr>
              <w:t xml:space="preserve"> </w:t>
            </w:r>
            <w:r>
              <w:rPr>
                <w:spacing w:val="9"/>
              </w:rPr>
              <w:t>审</w:t>
            </w:r>
            <w:r>
              <w:rPr>
                <w:spacing w:val="17"/>
              </w:rPr>
              <w:t xml:space="preserve"> </w:t>
            </w:r>
            <w:r>
              <w:rPr>
                <w:spacing w:val="9"/>
              </w:rPr>
              <w:t>结</w:t>
            </w:r>
          </w:p>
        </w:tc>
        <w:tc>
          <w:tcPr>
            <w:tcW w:w="657" w:type="dxa"/>
            <w:vMerge w:val="restart"/>
            <w:tcBorders>
              <w:bottom w:val="nil"/>
            </w:tcBorders>
            <w:vAlign w:val="top"/>
          </w:tcPr>
          <w:p w14:paraId="228AA358">
            <w:pPr>
              <w:spacing w:line="310" w:lineRule="auto"/>
              <w:rPr>
                <w:rFonts w:ascii="Arial"/>
                <w:sz w:val="21"/>
              </w:rPr>
            </w:pPr>
          </w:p>
          <w:p w14:paraId="430C7A9C">
            <w:pPr>
              <w:spacing w:line="310" w:lineRule="auto"/>
              <w:rPr>
                <w:rFonts w:ascii="Arial"/>
                <w:sz w:val="21"/>
              </w:rPr>
            </w:pPr>
          </w:p>
          <w:p w14:paraId="1DED0D67">
            <w:pPr>
              <w:pStyle w:val="6"/>
              <w:spacing w:before="62" w:line="230" w:lineRule="auto"/>
              <w:ind w:left="135"/>
            </w:pPr>
            <w:r>
              <w:rPr>
                <w:spacing w:val="4"/>
              </w:rPr>
              <w:t>总计</w:t>
            </w:r>
          </w:p>
        </w:tc>
        <w:tc>
          <w:tcPr>
            <w:tcW w:w="2968" w:type="dxa"/>
            <w:gridSpan w:val="5"/>
            <w:vAlign w:val="top"/>
          </w:tcPr>
          <w:p w14:paraId="1F5EB0C2">
            <w:pPr>
              <w:pStyle w:val="6"/>
              <w:spacing w:before="56" w:line="230" w:lineRule="auto"/>
              <w:ind w:left="691"/>
            </w:pPr>
            <w:r>
              <w:rPr>
                <w:spacing w:val="8"/>
              </w:rPr>
              <w:t>未经复议直接起诉</w:t>
            </w:r>
          </w:p>
        </w:tc>
        <w:tc>
          <w:tcPr>
            <w:tcW w:w="3030" w:type="dxa"/>
            <w:gridSpan w:val="5"/>
            <w:vAlign w:val="top"/>
          </w:tcPr>
          <w:p w14:paraId="3547B0E7">
            <w:pPr>
              <w:pStyle w:val="6"/>
              <w:spacing w:before="56" w:line="230" w:lineRule="auto"/>
              <w:ind w:left="1025"/>
            </w:pPr>
            <w:r>
              <w:rPr>
                <w:spacing w:val="7"/>
              </w:rPr>
              <w:t>复议后起诉</w:t>
            </w:r>
          </w:p>
        </w:tc>
      </w:tr>
      <w:tr w14:paraId="25CD6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608" w:type="dxa"/>
            <w:vMerge w:val="continue"/>
            <w:tcBorders>
              <w:top w:val="nil"/>
            </w:tcBorders>
            <w:textDirection w:val="tbRlV"/>
            <w:vAlign w:val="top"/>
          </w:tcPr>
          <w:p w14:paraId="04A679AB">
            <w:pPr>
              <w:rPr>
                <w:rFonts w:ascii="Arial"/>
                <w:sz w:val="21"/>
              </w:rPr>
            </w:pPr>
          </w:p>
        </w:tc>
        <w:tc>
          <w:tcPr>
            <w:tcW w:w="604" w:type="dxa"/>
            <w:vMerge w:val="continue"/>
            <w:tcBorders>
              <w:top w:val="nil"/>
            </w:tcBorders>
            <w:textDirection w:val="tbRlV"/>
            <w:vAlign w:val="top"/>
          </w:tcPr>
          <w:p w14:paraId="21C56E27">
            <w:pPr>
              <w:rPr>
                <w:rFonts w:ascii="Arial"/>
                <w:sz w:val="21"/>
              </w:rPr>
            </w:pPr>
          </w:p>
        </w:tc>
        <w:tc>
          <w:tcPr>
            <w:tcW w:w="604" w:type="dxa"/>
            <w:vMerge w:val="continue"/>
            <w:tcBorders>
              <w:top w:val="nil"/>
            </w:tcBorders>
            <w:textDirection w:val="tbRlV"/>
            <w:vAlign w:val="top"/>
          </w:tcPr>
          <w:p w14:paraId="079FA60B">
            <w:pPr>
              <w:rPr>
                <w:rFonts w:ascii="Arial"/>
                <w:sz w:val="21"/>
              </w:rPr>
            </w:pPr>
          </w:p>
        </w:tc>
        <w:tc>
          <w:tcPr>
            <w:tcW w:w="604" w:type="dxa"/>
            <w:vMerge w:val="continue"/>
            <w:tcBorders>
              <w:top w:val="nil"/>
            </w:tcBorders>
            <w:textDirection w:val="tbRlV"/>
            <w:vAlign w:val="top"/>
          </w:tcPr>
          <w:p w14:paraId="6E5E145C">
            <w:pPr>
              <w:rPr>
                <w:rFonts w:ascii="Arial"/>
                <w:sz w:val="21"/>
              </w:rPr>
            </w:pPr>
          </w:p>
        </w:tc>
        <w:tc>
          <w:tcPr>
            <w:tcW w:w="657" w:type="dxa"/>
            <w:vMerge w:val="continue"/>
            <w:tcBorders>
              <w:top w:val="nil"/>
            </w:tcBorders>
            <w:vAlign w:val="top"/>
          </w:tcPr>
          <w:p w14:paraId="46DBB823">
            <w:pPr>
              <w:rPr>
                <w:rFonts w:ascii="Arial"/>
                <w:sz w:val="21"/>
              </w:rPr>
            </w:pPr>
          </w:p>
        </w:tc>
        <w:tc>
          <w:tcPr>
            <w:tcW w:w="550" w:type="dxa"/>
            <w:textDirection w:val="tbRlV"/>
            <w:vAlign w:val="top"/>
          </w:tcPr>
          <w:p w14:paraId="10B19EAA">
            <w:pPr>
              <w:pStyle w:val="6"/>
              <w:spacing w:before="173" w:line="214" w:lineRule="auto"/>
              <w:ind w:left="57"/>
            </w:pPr>
            <w:r>
              <w:rPr>
                <w:spacing w:val="9"/>
              </w:rPr>
              <w:t>结</w:t>
            </w:r>
            <w:r>
              <w:rPr>
                <w:spacing w:val="18"/>
              </w:rPr>
              <w:t xml:space="preserve"> </w:t>
            </w:r>
            <w:r>
              <w:rPr>
                <w:spacing w:val="9"/>
              </w:rPr>
              <w:t>果</w:t>
            </w:r>
            <w:r>
              <w:rPr>
                <w:spacing w:val="18"/>
              </w:rPr>
              <w:t xml:space="preserve"> </w:t>
            </w:r>
            <w:r>
              <w:rPr>
                <w:spacing w:val="9"/>
              </w:rPr>
              <w:t>维</w:t>
            </w:r>
            <w:r>
              <w:rPr>
                <w:spacing w:val="17"/>
              </w:rPr>
              <w:t xml:space="preserve"> </w:t>
            </w:r>
            <w:r>
              <w:rPr>
                <w:spacing w:val="9"/>
              </w:rPr>
              <w:t>持</w:t>
            </w:r>
          </w:p>
        </w:tc>
        <w:tc>
          <w:tcPr>
            <w:tcW w:w="604" w:type="dxa"/>
            <w:textDirection w:val="tbRlV"/>
            <w:vAlign w:val="top"/>
          </w:tcPr>
          <w:p w14:paraId="26DC84AF">
            <w:pPr>
              <w:pStyle w:val="6"/>
              <w:spacing w:before="201" w:line="213" w:lineRule="auto"/>
              <w:ind w:left="57"/>
            </w:pPr>
            <w:r>
              <w:rPr>
                <w:spacing w:val="9"/>
              </w:rPr>
              <w:t>结</w:t>
            </w:r>
            <w:r>
              <w:rPr>
                <w:spacing w:val="18"/>
              </w:rPr>
              <w:t xml:space="preserve"> </w:t>
            </w:r>
            <w:r>
              <w:rPr>
                <w:spacing w:val="9"/>
              </w:rPr>
              <w:t>果</w:t>
            </w:r>
            <w:r>
              <w:rPr>
                <w:spacing w:val="18"/>
              </w:rPr>
              <w:t xml:space="preserve"> </w:t>
            </w:r>
            <w:r>
              <w:rPr>
                <w:spacing w:val="9"/>
              </w:rPr>
              <w:t>纠</w:t>
            </w:r>
            <w:r>
              <w:rPr>
                <w:spacing w:val="17"/>
              </w:rPr>
              <w:t xml:space="preserve"> </w:t>
            </w:r>
            <w:r>
              <w:rPr>
                <w:spacing w:val="9"/>
              </w:rPr>
              <w:t>正</w:t>
            </w:r>
          </w:p>
        </w:tc>
        <w:tc>
          <w:tcPr>
            <w:tcW w:w="604" w:type="dxa"/>
            <w:textDirection w:val="tbRlV"/>
            <w:vAlign w:val="top"/>
          </w:tcPr>
          <w:p w14:paraId="65653168">
            <w:pPr>
              <w:pStyle w:val="6"/>
              <w:spacing w:before="200" w:line="217" w:lineRule="auto"/>
              <w:ind w:left="57"/>
            </w:pPr>
            <w:r>
              <w:rPr>
                <w:spacing w:val="9"/>
              </w:rPr>
              <w:t>其</w:t>
            </w:r>
            <w:r>
              <w:rPr>
                <w:spacing w:val="18"/>
              </w:rPr>
              <w:t xml:space="preserve"> </w:t>
            </w:r>
            <w:r>
              <w:rPr>
                <w:spacing w:val="9"/>
              </w:rPr>
              <w:t>他</w:t>
            </w:r>
            <w:r>
              <w:rPr>
                <w:spacing w:val="18"/>
              </w:rPr>
              <w:t xml:space="preserve"> </w:t>
            </w:r>
            <w:r>
              <w:rPr>
                <w:spacing w:val="9"/>
              </w:rPr>
              <w:t>结</w:t>
            </w:r>
            <w:r>
              <w:rPr>
                <w:spacing w:val="17"/>
              </w:rPr>
              <w:t xml:space="preserve"> </w:t>
            </w:r>
            <w:r>
              <w:rPr>
                <w:spacing w:val="9"/>
              </w:rPr>
              <w:t>果</w:t>
            </w:r>
          </w:p>
        </w:tc>
        <w:tc>
          <w:tcPr>
            <w:tcW w:w="605" w:type="dxa"/>
            <w:textDirection w:val="tbRlV"/>
            <w:vAlign w:val="top"/>
          </w:tcPr>
          <w:p w14:paraId="4E74B736">
            <w:pPr>
              <w:pStyle w:val="6"/>
              <w:spacing w:before="201" w:line="214" w:lineRule="auto"/>
              <w:ind w:left="57"/>
            </w:pPr>
            <w:r>
              <w:rPr>
                <w:spacing w:val="9"/>
              </w:rPr>
              <w:t>尚</w:t>
            </w:r>
            <w:r>
              <w:rPr>
                <w:spacing w:val="18"/>
              </w:rPr>
              <w:t xml:space="preserve"> </w:t>
            </w:r>
            <w:r>
              <w:rPr>
                <w:spacing w:val="9"/>
              </w:rPr>
              <w:t>未</w:t>
            </w:r>
            <w:r>
              <w:rPr>
                <w:spacing w:val="18"/>
              </w:rPr>
              <w:t xml:space="preserve"> </w:t>
            </w:r>
            <w:r>
              <w:rPr>
                <w:spacing w:val="9"/>
              </w:rPr>
              <w:t>审</w:t>
            </w:r>
            <w:r>
              <w:rPr>
                <w:spacing w:val="17"/>
              </w:rPr>
              <w:t xml:space="preserve"> </w:t>
            </w:r>
            <w:r>
              <w:rPr>
                <w:spacing w:val="9"/>
              </w:rPr>
              <w:t>结</w:t>
            </w:r>
          </w:p>
        </w:tc>
        <w:tc>
          <w:tcPr>
            <w:tcW w:w="605" w:type="dxa"/>
            <w:textDirection w:val="tbRlV"/>
            <w:vAlign w:val="top"/>
          </w:tcPr>
          <w:p w14:paraId="54C2F1DF">
            <w:pPr>
              <w:pStyle w:val="6"/>
              <w:spacing w:before="199" w:line="217" w:lineRule="auto"/>
              <w:ind w:left="369"/>
            </w:pPr>
            <w:r>
              <w:rPr>
                <w:spacing w:val="9"/>
              </w:rPr>
              <w:t>总</w:t>
            </w:r>
            <w:r>
              <w:rPr>
                <w:spacing w:val="17"/>
              </w:rPr>
              <w:t xml:space="preserve"> </w:t>
            </w:r>
            <w:r>
              <w:rPr>
                <w:spacing w:val="9"/>
              </w:rPr>
              <w:t>计</w:t>
            </w:r>
          </w:p>
        </w:tc>
        <w:tc>
          <w:tcPr>
            <w:tcW w:w="605" w:type="dxa"/>
            <w:textDirection w:val="tbRlV"/>
            <w:vAlign w:val="top"/>
          </w:tcPr>
          <w:p w14:paraId="7ED3F23B">
            <w:pPr>
              <w:pStyle w:val="6"/>
              <w:spacing w:before="199" w:line="214" w:lineRule="auto"/>
              <w:ind w:left="57"/>
            </w:pPr>
            <w:r>
              <w:rPr>
                <w:spacing w:val="9"/>
              </w:rPr>
              <w:t>结</w:t>
            </w:r>
            <w:r>
              <w:rPr>
                <w:spacing w:val="18"/>
              </w:rPr>
              <w:t xml:space="preserve"> </w:t>
            </w:r>
            <w:r>
              <w:rPr>
                <w:spacing w:val="9"/>
              </w:rPr>
              <w:t>果</w:t>
            </w:r>
            <w:r>
              <w:rPr>
                <w:spacing w:val="18"/>
              </w:rPr>
              <w:t xml:space="preserve"> </w:t>
            </w:r>
            <w:r>
              <w:rPr>
                <w:spacing w:val="9"/>
              </w:rPr>
              <w:t>维</w:t>
            </w:r>
            <w:r>
              <w:rPr>
                <w:spacing w:val="17"/>
              </w:rPr>
              <w:t xml:space="preserve"> </w:t>
            </w:r>
            <w:r>
              <w:rPr>
                <w:spacing w:val="9"/>
              </w:rPr>
              <w:t>持</w:t>
            </w:r>
          </w:p>
        </w:tc>
        <w:tc>
          <w:tcPr>
            <w:tcW w:w="605" w:type="dxa"/>
            <w:textDirection w:val="tbRlV"/>
            <w:vAlign w:val="top"/>
          </w:tcPr>
          <w:p w14:paraId="4A98CDB6">
            <w:pPr>
              <w:pStyle w:val="6"/>
              <w:spacing w:before="199" w:line="213" w:lineRule="auto"/>
              <w:ind w:left="57"/>
            </w:pPr>
            <w:r>
              <w:rPr>
                <w:spacing w:val="9"/>
              </w:rPr>
              <w:t>结</w:t>
            </w:r>
            <w:r>
              <w:rPr>
                <w:spacing w:val="18"/>
              </w:rPr>
              <w:t xml:space="preserve"> </w:t>
            </w:r>
            <w:r>
              <w:rPr>
                <w:spacing w:val="9"/>
              </w:rPr>
              <w:t>果</w:t>
            </w:r>
            <w:r>
              <w:rPr>
                <w:spacing w:val="18"/>
              </w:rPr>
              <w:t xml:space="preserve"> </w:t>
            </w:r>
            <w:r>
              <w:rPr>
                <w:spacing w:val="9"/>
              </w:rPr>
              <w:t>纠</w:t>
            </w:r>
            <w:r>
              <w:rPr>
                <w:spacing w:val="17"/>
              </w:rPr>
              <w:t xml:space="preserve"> </w:t>
            </w:r>
            <w:r>
              <w:rPr>
                <w:spacing w:val="9"/>
              </w:rPr>
              <w:t>正</w:t>
            </w:r>
          </w:p>
        </w:tc>
        <w:tc>
          <w:tcPr>
            <w:tcW w:w="605" w:type="dxa"/>
            <w:textDirection w:val="tbRlV"/>
            <w:vAlign w:val="top"/>
          </w:tcPr>
          <w:p w14:paraId="0131D800">
            <w:pPr>
              <w:pStyle w:val="6"/>
              <w:spacing w:before="199" w:line="217" w:lineRule="auto"/>
              <w:ind w:left="57"/>
            </w:pPr>
            <w:r>
              <w:rPr>
                <w:spacing w:val="9"/>
              </w:rPr>
              <w:t>其</w:t>
            </w:r>
            <w:r>
              <w:rPr>
                <w:spacing w:val="18"/>
              </w:rPr>
              <w:t xml:space="preserve"> </w:t>
            </w:r>
            <w:r>
              <w:rPr>
                <w:spacing w:val="9"/>
              </w:rPr>
              <w:t>他</w:t>
            </w:r>
            <w:r>
              <w:rPr>
                <w:spacing w:val="18"/>
              </w:rPr>
              <w:t xml:space="preserve"> </w:t>
            </w:r>
            <w:r>
              <w:rPr>
                <w:spacing w:val="9"/>
              </w:rPr>
              <w:t>结</w:t>
            </w:r>
            <w:r>
              <w:rPr>
                <w:spacing w:val="17"/>
              </w:rPr>
              <w:t xml:space="preserve"> </w:t>
            </w:r>
            <w:r>
              <w:rPr>
                <w:spacing w:val="9"/>
              </w:rPr>
              <w:t>果</w:t>
            </w:r>
          </w:p>
        </w:tc>
        <w:tc>
          <w:tcPr>
            <w:tcW w:w="605" w:type="dxa"/>
            <w:textDirection w:val="tbRlV"/>
            <w:vAlign w:val="top"/>
          </w:tcPr>
          <w:p w14:paraId="0D9ACAD0">
            <w:pPr>
              <w:pStyle w:val="6"/>
              <w:spacing w:before="199" w:line="214" w:lineRule="auto"/>
              <w:ind w:left="57"/>
            </w:pPr>
            <w:r>
              <w:rPr>
                <w:spacing w:val="9"/>
              </w:rPr>
              <w:t>尚</w:t>
            </w:r>
            <w:r>
              <w:rPr>
                <w:spacing w:val="18"/>
              </w:rPr>
              <w:t xml:space="preserve"> </w:t>
            </w:r>
            <w:r>
              <w:rPr>
                <w:spacing w:val="9"/>
              </w:rPr>
              <w:t>未</w:t>
            </w:r>
            <w:r>
              <w:rPr>
                <w:spacing w:val="18"/>
              </w:rPr>
              <w:t xml:space="preserve"> </w:t>
            </w:r>
            <w:r>
              <w:rPr>
                <w:spacing w:val="9"/>
              </w:rPr>
              <w:t>审</w:t>
            </w:r>
            <w:r>
              <w:rPr>
                <w:spacing w:val="17"/>
              </w:rPr>
              <w:t xml:space="preserve"> </w:t>
            </w:r>
            <w:r>
              <w:rPr>
                <w:spacing w:val="9"/>
              </w:rPr>
              <w:t>结</w:t>
            </w:r>
          </w:p>
        </w:tc>
        <w:tc>
          <w:tcPr>
            <w:tcW w:w="610" w:type="dxa"/>
            <w:textDirection w:val="tbRlV"/>
            <w:vAlign w:val="top"/>
          </w:tcPr>
          <w:p w14:paraId="62D23D09">
            <w:pPr>
              <w:pStyle w:val="6"/>
              <w:spacing w:before="203" w:line="217" w:lineRule="auto"/>
              <w:ind w:left="369"/>
            </w:pPr>
            <w:r>
              <w:rPr>
                <w:spacing w:val="9"/>
              </w:rPr>
              <w:t>总</w:t>
            </w:r>
            <w:r>
              <w:rPr>
                <w:spacing w:val="17"/>
              </w:rPr>
              <w:t xml:space="preserve"> </w:t>
            </w:r>
            <w:r>
              <w:rPr>
                <w:spacing w:val="9"/>
              </w:rPr>
              <w:t>计</w:t>
            </w:r>
          </w:p>
        </w:tc>
      </w:tr>
      <w:tr w14:paraId="535CA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08" w:type="dxa"/>
            <w:vAlign w:val="top"/>
          </w:tcPr>
          <w:p w14:paraId="491ABF59">
            <w:pPr>
              <w:spacing w:before="97" w:line="195" w:lineRule="auto"/>
              <w:ind w:left="284"/>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4" w:type="dxa"/>
            <w:vAlign w:val="top"/>
          </w:tcPr>
          <w:p w14:paraId="4F0E3B34">
            <w:pPr>
              <w:spacing w:before="97" w:line="195" w:lineRule="auto"/>
              <w:ind w:left="279"/>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4" w:type="dxa"/>
            <w:vAlign w:val="top"/>
          </w:tcPr>
          <w:p w14:paraId="7A1797FF">
            <w:pPr>
              <w:spacing w:before="97" w:line="195" w:lineRule="auto"/>
              <w:ind w:left="280"/>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4" w:type="dxa"/>
            <w:vAlign w:val="top"/>
          </w:tcPr>
          <w:p w14:paraId="0FFC263F">
            <w:pPr>
              <w:spacing w:before="97" w:line="195" w:lineRule="auto"/>
              <w:ind w:left="280"/>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57" w:type="dxa"/>
            <w:vAlign w:val="top"/>
          </w:tcPr>
          <w:p w14:paraId="768835A2">
            <w:pPr>
              <w:spacing w:before="97" w:line="195" w:lineRule="auto"/>
              <w:ind w:left="257"/>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550" w:type="dxa"/>
            <w:vAlign w:val="top"/>
          </w:tcPr>
          <w:p w14:paraId="2BE6DCC7">
            <w:pPr>
              <w:spacing w:before="97" w:line="195" w:lineRule="auto"/>
              <w:ind w:left="253"/>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4" w:type="dxa"/>
            <w:vAlign w:val="top"/>
          </w:tcPr>
          <w:p w14:paraId="7A2A2753">
            <w:pPr>
              <w:spacing w:before="97" w:line="195" w:lineRule="auto"/>
              <w:ind w:left="231"/>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4" w:type="dxa"/>
            <w:vAlign w:val="top"/>
          </w:tcPr>
          <w:p w14:paraId="0FCEE3CD">
            <w:pPr>
              <w:spacing w:before="97" w:line="195" w:lineRule="auto"/>
              <w:ind w:left="282"/>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5" w:type="dxa"/>
            <w:vAlign w:val="top"/>
          </w:tcPr>
          <w:p w14:paraId="711F40F0">
            <w:pPr>
              <w:spacing w:before="97" w:line="195" w:lineRule="auto"/>
              <w:ind w:left="283"/>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5" w:type="dxa"/>
            <w:vAlign w:val="top"/>
          </w:tcPr>
          <w:p w14:paraId="5B90EBCB">
            <w:pPr>
              <w:pStyle w:val="6"/>
              <w:spacing w:before="94" w:line="189" w:lineRule="auto"/>
              <w:ind w:left="235"/>
            </w:pPr>
            <w:r>
              <w:t>0</w:t>
            </w:r>
          </w:p>
        </w:tc>
        <w:tc>
          <w:tcPr>
            <w:tcW w:w="605" w:type="dxa"/>
            <w:vAlign w:val="top"/>
          </w:tcPr>
          <w:p w14:paraId="1FE8D8D5">
            <w:pPr>
              <w:spacing w:before="97" w:line="195" w:lineRule="auto"/>
              <w:ind w:left="232"/>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5" w:type="dxa"/>
            <w:vAlign w:val="top"/>
          </w:tcPr>
          <w:p w14:paraId="1EA822EB">
            <w:pPr>
              <w:spacing w:before="97" w:line="195" w:lineRule="auto"/>
              <w:ind w:left="282"/>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05" w:type="dxa"/>
            <w:vAlign w:val="top"/>
          </w:tcPr>
          <w:p w14:paraId="01002D38">
            <w:pPr>
              <w:pStyle w:val="6"/>
              <w:spacing w:before="94" w:line="189" w:lineRule="auto"/>
              <w:ind w:left="284"/>
            </w:pPr>
            <w:r>
              <w:t>0</w:t>
            </w:r>
          </w:p>
        </w:tc>
        <w:tc>
          <w:tcPr>
            <w:tcW w:w="605" w:type="dxa"/>
            <w:vAlign w:val="top"/>
          </w:tcPr>
          <w:p w14:paraId="3128E3CE">
            <w:pPr>
              <w:spacing w:before="97" w:line="195" w:lineRule="auto"/>
              <w:ind w:left="284"/>
              <w:rPr>
                <w:rFonts w:ascii="Times New Roman" w:hAnsi="Times New Roman" w:eastAsia="Times New Roman" w:cs="Times New Roman"/>
                <w:sz w:val="19"/>
                <w:szCs w:val="19"/>
              </w:rPr>
            </w:pPr>
            <w:r>
              <w:rPr>
                <w:rFonts w:ascii="Times New Roman" w:hAnsi="Times New Roman" w:eastAsia="Times New Roman" w:cs="Times New Roman"/>
                <w:sz w:val="19"/>
                <w:szCs w:val="19"/>
              </w:rPr>
              <w:t>0</w:t>
            </w:r>
          </w:p>
        </w:tc>
        <w:tc>
          <w:tcPr>
            <w:tcW w:w="610" w:type="dxa"/>
            <w:vAlign w:val="top"/>
          </w:tcPr>
          <w:p w14:paraId="6BC354E8">
            <w:pPr>
              <w:pStyle w:val="6"/>
              <w:spacing w:before="79" w:line="178" w:lineRule="auto"/>
              <w:ind w:left="118"/>
              <w:rPr>
                <w:sz w:val="24"/>
                <w:szCs w:val="24"/>
              </w:rPr>
            </w:pPr>
            <w:r>
              <w:rPr>
                <w:sz w:val="24"/>
                <w:szCs w:val="24"/>
              </w:rPr>
              <w:t>0</w:t>
            </w:r>
          </w:p>
        </w:tc>
      </w:tr>
    </w:tbl>
    <w:p w14:paraId="40D8A089">
      <w:pPr>
        <w:spacing w:before="184" w:line="416" w:lineRule="exact"/>
        <w:ind w:left="135" w:firstLine="672" w:firstLineChars="200"/>
        <w:rPr>
          <w:rFonts w:hint="eastAsia" w:ascii="方正黑体_GBK" w:hAnsi="方正黑体_GBK" w:eastAsia="方正黑体_GBK" w:cs="方正黑体_GBK"/>
          <w:snapToGrid w:val="0"/>
          <w:color w:val="000000"/>
          <w:spacing w:val="8"/>
          <w:kern w:val="0"/>
          <w:sz w:val="32"/>
          <w:szCs w:val="32"/>
          <w:lang w:val="en-US" w:eastAsia="en-US" w:bidi="ar-SA"/>
        </w:rPr>
      </w:pPr>
      <w:r>
        <w:rPr>
          <w:rFonts w:hint="eastAsia" w:ascii="方正黑体_GBK" w:hAnsi="方正黑体_GBK" w:eastAsia="方正黑体_GBK" w:cs="方正黑体_GBK"/>
          <w:snapToGrid w:val="0"/>
          <w:color w:val="000000"/>
          <w:spacing w:val="8"/>
          <w:kern w:val="0"/>
          <w:sz w:val="32"/>
          <w:szCs w:val="32"/>
          <w:lang w:val="en-US" w:eastAsia="en-US" w:bidi="ar-SA"/>
        </w:rPr>
        <w:t>五、存在的主要问题及改进情况</w:t>
      </w:r>
    </w:p>
    <w:p w14:paraId="2FD7E41F">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683"/>
        <w:textAlignment w:val="baseline"/>
      </w:pPr>
      <w:r>
        <w:rPr>
          <w:spacing w:val="2"/>
        </w:rPr>
        <w:t>当前，县教育体育局政府信息公开工作存在的主要问题：一</w:t>
      </w:r>
      <w:r>
        <w:rPr>
          <w:spacing w:val="5"/>
        </w:rPr>
        <w:t>是政府信息公开工作的规范化、科学化程度</w:t>
      </w:r>
      <w:r>
        <w:rPr>
          <w:spacing w:val="4"/>
        </w:rPr>
        <w:t>有待提高；二是政府</w:t>
      </w:r>
    </w:p>
    <w:p w14:paraId="77D69C3F">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textAlignment w:val="baseline"/>
        <w:sectPr>
          <w:footerReference r:id="rId6" w:type="default"/>
          <w:pgSz w:w="11906" w:h="16839"/>
          <w:pgMar w:top="1431" w:right="1356" w:bottom="1512" w:left="1469" w:header="0" w:footer="1146" w:gutter="0"/>
          <w:cols w:space="720" w:num="1"/>
        </w:sectPr>
      </w:pPr>
    </w:p>
    <w:p w14:paraId="5B93D9E5">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textAlignment w:val="baseline"/>
      </w:pPr>
      <w:r>
        <w:rPr>
          <w:spacing w:val="5"/>
        </w:rPr>
        <w:t>信息公开的广度、深度有待进一步拓展；三是政府信息</w:t>
      </w:r>
      <w:r>
        <w:rPr>
          <w:spacing w:val="4"/>
        </w:rPr>
        <w:t>公开工作</w:t>
      </w:r>
      <w:r>
        <w:rPr>
          <w:spacing w:val="6"/>
        </w:rPr>
        <w:t>宣传力度有待进一步加强。</w:t>
      </w:r>
    </w:p>
    <w:p w14:paraId="156EFC47">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373"/>
        <w:textAlignment w:val="baseline"/>
        <w:rPr>
          <w:spacing w:val="3"/>
        </w:rPr>
      </w:pPr>
      <w:r>
        <w:rPr>
          <w:spacing w:val="9"/>
        </w:rPr>
        <w:t>在今后的工作中，县教育体育局将采取有力措施，切实做好</w:t>
      </w:r>
      <w:r>
        <w:rPr>
          <w:spacing w:val="8"/>
        </w:rPr>
        <w:t>政府信息公开工作：一是进一步提高思想认识，</w:t>
      </w:r>
      <w:r>
        <w:rPr>
          <w:spacing w:val="7"/>
        </w:rPr>
        <w:t>加强学习教育。</w:t>
      </w:r>
      <w:r>
        <w:rPr>
          <w:spacing w:val="5"/>
        </w:rPr>
        <w:t>组织学习《中华人民共和国政府信息公开条例》</w:t>
      </w:r>
      <w:r>
        <w:rPr>
          <w:spacing w:val="4"/>
        </w:rPr>
        <w:t>和《云南省政府</w:t>
      </w:r>
      <w:r>
        <w:rPr>
          <w:spacing w:val="5"/>
        </w:rPr>
        <w:t>信息公开规定》等法规，切实提高对政府信息公</w:t>
      </w:r>
      <w:r>
        <w:rPr>
          <w:spacing w:val="4"/>
        </w:rPr>
        <w:t>开重要意义的认</w:t>
      </w:r>
      <w:r>
        <w:rPr>
          <w:spacing w:val="5"/>
        </w:rPr>
        <w:t>识；二是进一步加强信息公开的时效性。及时在第一时</w:t>
      </w:r>
      <w:r>
        <w:rPr>
          <w:spacing w:val="4"/>
        </w:rPr>
        <w:t>间更新政</w:t>
      </w:r>
      <w:r>
        <w:rPr>
          <w:spacing w:val="5"/>
        </w:rPr>
        <w:t>府信息公开的内容；三是进一步完善政府信息公开工作</w:t>
      </w:r>
      <w:r>
        <w:rPr>
          <w:spacing w:val="4"/>
        </w:rPr>
        <w:t>机制。加</w:t>
      </w:r>
      <w:r>
        <w:rPr>
          <w:spacing w:val="5"/>
        </w:rPr>
        <w:t>强对信息公开工作人员的业务培训，建设长效工作机制</w:t>
      </w:r>
      <w:r>
        <w:rPr>
          <w:spacing w:val="4"/>
        </w:rPr>
        <w:t>，切实加</w:t>
      </w:r>
      <w:r>
        <w:rPr>
          <w:spacing w:val="5"/>
        </w:rPr>
        <w:t>强督查力度，促进政府信息公开工作的规范化和科学化</w:t>
      </w:r>
      <w:r>
        <w:rPr>
          <w:spacing w:val="4"/>
        </w:rPr>
        <w:t>；四是建</w:t>
      </w:r>
      <w:r>
        <w:rPr>
          <w:spacing w:val="5"/>
        </w:rPr>
        <w:t>立信息主动公开事项清单。分别制定局机关和所属事业</w:t>
      </w:r>
      <w:r>
        <w:rPr>
          <w:spacing w:val="4"/>
        </w:rPr>
        <w:t>单位信息</w:t>
      </w:r>
      <w:r>
        <w:rPr>
          <w:spacing w:val="5"/>
        </w:rPr>
        <w:t>主动公开事项清单，进一步扩大政府信息公开范</w:t>
      </w:r>
      <w:r>
        <w:rPr>
          <w:spacing w:val="4"/>
        </w:rPr>
        <w:t>围，丰富公开形</w:t>
      </w:r>
      <w:r>
        <w:rPr>
          <w:spacing w:val="5"/>
        </w:rPr>
        <w:t>式，拓宽公开渠道，积极推进政府信息公开工作向深度</w:t>
      </w:r>
      <w:r>
        <w:rPr>
          <w:spacing w:val="4"/>
        </w:rPr>
        <w:t>发展；五</w:t>
      </w:r>
      <w:r>
        <w:rPr>
          <w:spacing w:val="5"/>
        </w:rPr>
        <w:t>是加强信息发布、解读和回应。积极回应群众关</w:t>
      </w:r>
      <w:r>
        <w:rPr>
          <w:spacing w:val="4"/>
        </w:rPr>
        <w:t>切，准确解读教</w:t>
      </w:r>
      <w:r>
        <w:rPr>
          <w:spacing w:val="5"/>
        </w:rPr>
        <w:t>育政策措施，理性分析教育改革的重点、热点和难点，</w:t>
      </w:r>
      <w:r>
        <w:rPr>
          <w:spacing w:val="4"/>
        </w:rPr>
        <w:t>加强与公</w:t>
      </w:r>
      <w:r>
        <w:rPr>
          <w:spacing w:val="-3"/>
        </w:rPr>
        <w:t>众的互动交流，满足公众需求；六是加强政府信息公</w:t>
      </w:r>
      <w:r>
        <w:rPr>
          <w:spacing w:val="-4"/>
        </w:rPr>
        <w:t>开宣传工作，</w:t>
      </w:r>
      <w:r>
        <w:rPr>
          <w:spacing w:val="5"/>
        </w:rPr>
        <w:t>增进公众对政府信息公开的了解。依托基层学校和广大</w:t>
      </w:r>
      <w:r>
        <w:rPr>
          <w:spacing w:val="4"/>
        </w:rPr>
        <w:t>师生，大</w:t>
      </w:r>
      <w:r>
        <w:rPr>
          <w:spacing w:val="10"/>
        </w:rPr>
        <w:t>力宣传教育工作职能和工作范围，不断推进教育工</w:t>
      </w:r>
      <w:r>
        <w:rPr>
          <w:spacing w:val="9"/>
        </w:rPr>
        <w:t>作的全面发</w:t>
      </w:r>
      <w:r>
        <w:rPr>
          <w:spacing w:val="3"/>
        </w:rPr>
        <w:t>展。</w:t>
      </w:r>
    </w:p>
    <w:p w14:paraId="41DF1211">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373"/>
        <w:textAlignment w:val="baseline"/>
        <w:rPr>
          <w:rFonts w:ascii="黑体" w:hAnsi="黑体" w:eastAsia="黑体" w:cs="黑体"/>
          <w:sz w:val="31"/>
          <w:szCs w:val="31"/>
        </w:rPr>
      </w:pPr>
      <w:r>
        <w:rPr>
          <w:rFonts w:hint="eastAsia" w:ascii="方正黑体_GBK" w:hAnsi="方正黑体_GBK" w:eastAsia="方正黑体_GBK" w:cs="方正黑体_GBK"/>
          <w:spacing w:val="8"/>
          <w:sz w:val="32"/>
          <w:szCs w:val="32"/>
        </w:rPr>
        <w:t>六、其他需要报告的事</w:t>
      </w:r>
      <w:r>
        <w:rPr>
          <w:rFonts w:hint="eastAsia" w:ascii="方正黑体_GBK" w:hAnsi="方正黑体_GBK" w:eastAsia="方正黑体_GBK" w:cs="方正黑体_GBK"/>
          <w:spacing w:val="8"/>
          <w:sz w:val="32"/>
          <w:szCs w:val="32"/>
          <w:lang w:val="en-US" w:eastAsia="zh-CN"/>
        </w:rPr>
        <w:t>项</w:t>
      </w:r>
      <w:r>
        <w:rPr>
          <w:rFonts w:ascii="黑体" w:hAnsi="黑体" w:eastAsia="黑体" w:cs="黑体"/>
          <w:sz w:val="31"/>
          <w:szCs w:val="31"/>
        </w:rPr>
        <w:t xml:space="preserve"> </w:t>
      </w:r>
    </w:p>
    <w:p w14:paraId="1A994827">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373"/>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6"/>
          <w:sz w:val="32"/>
          <w:szCs w:val="32"/>
        </w:rPr>
        <w:t>无其它需要说明事项</w:t>
      </w:r>
    </w:p>
    <w:p w14:paraId="37D6C24C">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textAlignment w:val="baseline"/>
        <w:rPr>
          <w:rFonts w:ascii="Arial"/>
          <w:sz w:val="21"/>
        </w:rPr>
      </w:pPr>
    </w:p>
    <w:p w14:paraId="42912E4D">
      <w:pPr>
        <w:keepNext w:val="0"/>
        <w:keepLines w:val="0"/>
        <w:pageBreakBefore w:val="0"/>
        <w:widowControl/>
        <w:kinsoku w:val="0"/>
        <w:wordWrap/>
        <w:overflowPunct/>
        <w:topLinePunct w:val="0"/>
        <w:autoSpaceDE w:val="0"/>
        <w:autoSpaceDN w:val="0"/>
        <w:bidi w:val="0"/>
        <w:adjustRightInd w:val="0"/>
        <w:snapToGrid w:val="0"/>
        <w:spacing w:line="580" w:lineRule="exact"/>
        <w:ind w:left="0" w:right="0"/>
        <w:textAlignment w:val="baseline"/>
        <w:rPr>
          <w:rFonts w:ascii="Arial"/>
          <w:sz w:val="21"/>
        </w:rPr>
      </w:pPr>
    </w:p>
    <w:p w14:paraId="2163D906">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373"/>
        <w:textAlignment w:val="baseline"/>
        <w:rPr>
          <w:rFonts w:hint="eastAsia" w:ascii="方正仿宋_GBK" w:hAnsi="方正仿宋_GBK" w:eastAsia="方正仿宋_GBK" w:cs="方正仿宋_GBK"/>
          <w:spacing w:val="6"/>
          <w:sz w:val="32"/>
          <w:szCs w:val="32"/>
        </w:rPr>
      </w:pPr>
      <w:r>
        <w:rPr>
          <w:rFonts w:hint="eastAsia" w:ascii="方正仿宋_GBK" w:hAnsi="方正仿宋_GBK" w:eastAsia="方正仿宋_GBK" w:cs="方正仿宋_GBK"/>
          <w:spacing w:val="6"/>
          <w:sz w:val="32"/>
          <w:szCs w:val="32"/>
        </w:rPr>
        <w:t>公开网址：华宁政府网站</w:t>
      </w:r>
    </w:p>
    <w:p w14:paraId="12F3F63F">
      <w:pPr>
        <w:pStyle w:val="2"/>
        <w:keepNext w:val="0"/>
        <w:keepLines w:val="0"/>
        <w:pageBreakBefore w:val="0"/>
        <w:widowControl/>
        <w:kinsoku w:val="0"/>
        <w:wordWrap/>
        <w:overflowPunct/>
        <w:topLinePunct w:val="0"/>
        <w:autoSpaceDE w:val="0"/>
        <w:autoSpaceDN w:val="0"/>
        <w:bidi w:val="0"/>
        <w:adjustRightInd w:val="0"/>
        <w:snapToGrid w:val="0"/>
        <w:spacing w:line="580" w:lineRule="exact"/>
        <w:ind w:left="0" w:right="0" w:firstLine="373"/>
        <w:textAlignment w:val="baseline"/>
        <w:rPr>
          <w:rFonts w:hint="default" w:ascii="Times New Roman" w:hAnsi="Times New Roman" w:eastAsia="方正仿宋_GBK" w:cs="Times New Roman"/>
          <w:spacing w:val="6"/>
          <w:sz w:val="32"/>
          <w:szCs w:val="32"/>
        </w:rPr>
      </w:pPr>
      <w:r>
        <w:rPr>
          <w:rFonts w:hint="default" w:ascii="Times New Roman" w:hAnsi="Times New Roman" w:eastAsia="方正仿宋_GBK" w:cs="Times New Roman"/>
          <w:spacing w:val="6"/>
          <w:sz w:val="32"/>
          <w:szCs w:val="32"/>
        </w:rPr>
        <w:fldChar w:fldCharType="begin"/>
      </w:r>
      <w:r>
        <w:rPr>
          <w:rFonts w:hint="default" w:ascii="Times New Roman" w:hAnsi="Times New Roman" w:eastAsia="方正仿宋_GBK" w:cs="Times New Roman"/>
          <w:spacing w:val="6"/>
          <w:sz w:val="32"/>
          <w:szCs w:val="32"/>
        </w:rPr>
        <w:instrText xml:space="preserve"> HYPERLINK "http://www.huaning.gov.cn/hn/zfxxyzwgkndbg4017/20210121/" </w:instrText>
      </w:r>
      <w:r>
        <w:rPr>
          <w:rFonts w:hint="default" w:ascii="Times New Roman" w:hAnsi="Times New Roman" w:eastAsia="方正仿宋_GBK" w:cs="Times New Roman"/>
          <w:spacing w:val="6"/>
          <w:sz w:val="32"/>
          <w:szCs w:val="32"/>
        </w:rPr>
        <w:fldChar w:fldCharType="separate"/>
      </w:r>
      <w:r>
        <w:rPr>
          <w:rFonts w:hint="default" w:ascii="Times New Roman" w:hAnsi="Times New Roman" w:eastAsia="方正仿宋_GBK" w:cs="Times New Roman"/>
          <w:spacing w:val="6"/>
          <w:sz w:val="32"/>
          <w:szCs w:val="32"/>
        </w:rPr>
        <w:t>http://www.huaning.gov.cn/hn/zfxxyzwgkndbg4017/20210121/</w:t>
      </w:r>
      <w:r>
        <w:rPr>
          <w:rFonts w:hint="default" w:ascii="Times New Roman" w:hAnsi="Times New Roman" w:eastAsia="方正仿宋_GBK" w:cs="Times New Roman"/>
          <w:spacing w:val="6"/>
          <w:sz w:val="32"/>
          <w:szCs w:val="32"/>
        </w:rPr>
        <w:fldChar w:fldCharType="end"/>
      </w:r>
      <w:r>
        <w:rPr>
          <w:rFonts w:hint="default" w:ascii="Times New Roman" w:hAnsi="Times New Roman" w:eastAsia="方正仿宋_GBK" w:cs="Times New Roman"/>
          <w:spacing w:val="6"/>
          <w:sz w:val="32"/>
          <w:szCs w:val="32"/>
        </w:rPr>
        <w:t>1220003.html</w:t>
      </w:r>
    </w:p>
    <w:sectPr>
      <w:footerReference r:id="rId7" w:type="default"/>
      <w:pgSz w:w="11906" w:h="16839"/>
      <w:pgMar w:top="2041" w:right="1474" w:bottom="1304" w:left="1587" w:header="1361" w:footer="1191"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1424FC9-CE9B-4450-B8ED-B0073E028881}"/>
  </w:font>
  <w:font w:name="黑体">
    <w:panose1 w:val="02010609060101010101"/>
    <w:charset w:val="86"/>
    <w:family w:val="auto"/>
    <w:pitch w:val="default"/>
    <w:sig w:usb0="800002BF" w:usb1="38CF7CFA" w:usb2="00000016" w:usb3="00000000" w:csb0="00040001" w:csb1="00000000"/>
    <w:embedRegular r:id="rId2" w:fontKey="{282537B7-ED9B-4C03-9139-AAA47E2767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3" w:fontKey="{B80D7035-74D2-40B1-B405-3ECCECC7B042}"/>
  </w:font>
  <w:font w:name="方正楷体_GBK">
    <w:panose1 w:val="03000509000000000000"/>
    <w:charset w:val="86"/>
    <w:family w:val="auto"/>
    <w:pitch w:val="default"/>
    <w:sig w:usb0="00000001" w:usb1="080E0000" w:usb2="00000000" w:usb3="00000000" w:csb0="00040000" w:csb1="00000000"/>
    <w:embedRegular r:id="rId4" w:fontKey="{F4FB09A7-5852-43CE-9B9B-847A277F3E91}"/>
  </w:font>
  <w:font w:name="方正仿宋_GBK">
    <w:panose1 w:val="03000509000000000000"/>
    <w:charset w:val="86"/>
    <w:family w:val="auto"/>
    <w:pitch w:val="default"/>
    <w:sig w:usb0="00000001" w:usb1="080E0000" w:usb2="00000000" w:usb3="00000000" w:csb0="00040000" w:csb1="00000000"/>
    <w:embedRegular r:id="rId5" w:fontKey="{2AD44A3B-F8B2-46D9-ABF9-179982C91132}"/>
  </w:font>
  <w:font w:name="方正黑体_GBK">
    <w:panose1 w:val="03000509000000000000"/>
    <w:charset w:val="86"/>
    <w:family w:val="auto"/>
    <w:pitch w:val="default"/>
    <w:sig w:usb0="00000001" w:usb1="080E0000" w:usb2="00000000" w:usb3="00000000" w:csb0="00040000" w:csb1="00000000"/>
    <w:embedRegular r:id="rId6" w:fontKey="{C3DF0319-1B43-4647-AB42-30113CC244EB}"/>
  </w:font>
  <w:font w:name="楷体">
    <w:panose1 w:val="02010609060101010101"/>
    <w:charset w:val="86"/>
    <w:family w:val="auto"/>
    <w:pitch w:val="default"/>
    <w:sig w:usb0="800002BF" w:usb1="38CF7CFA" w:usb2="00000016" w:usb3="00000000" w:csb0="00040001" w:csb1="00000000"/>
    <w:embedRegular r:id="rId7" w:fontKey="{D40992CC-5380-4A72-A354-B712F47F83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E60E9">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CE76A">
    <w:pPr>
      <w:spacing w:line="234" w:lineRule="auto"/>
      <w:ind w:left="7715"/>
      <w:rPr>
        <w:rFonts w:ascii="宋体" w:hAnsi="宋体" w:eastAsia="宋体" w:cs="宋体"/>
        <w:sz w:val="28"/>
        <w:szCs w:val="28"/>
      </w:rPr>
    </w:pPr>
    <w:r>
      <w:rPr>
        <w:rFonts w:ascii="宋体" w:hAnsi="宋体" w:eastAsia="宋体" w:cs="宋体"/>
        <w:spacing w:val="19"/>
        <w:w w:val="116"/>
        <w:sz w:val="28"/>
        <w:szCs w:val="28"/>
      </w:rPr>
      <w:t>-</w:t>
    </w:r>
    <w:r>
      <w:rPr>
        <w:rFonts w:ascii="宋体" w:hAnsi="宋体" w:eastAsia="宋体" w:cs="宋体"/>
        <w:spacing w:val="47"/>
        <w:sz w:val="28"/>
        <w:szCs w:val="28"/>
      </w:rPr>
      <w:t xml:space="preserve"> </w:t>
    </w:r>
    <w:r>
      <w:rPr>
        <w:rFonts w:ascii="宋体" w:hAnsi="宋体" w:eastAsia="宋体" w:cs="宋体"/>
        <w:spacing w:val="19"/>
        <w:w w:val="116"/>
        <w:sz w:val="28"/>
        <w:szCs w:val="28"/>
      </w:rPr>
      <w:t>9</w:t>
    </w:r>
    <w:r>
      <w:rPr>
        <w:rFonts w:ascii="宋体" w:hAnsi="宋体" w:eastAsia="宋体" w:cs="宋体"/>
        <w:spacing w:val="34"/>
        <w:sz w:val="28"/>
        <w:szCs w:val="28"/>
      </w:rPr>
      <w:t xml:space="preserve"> </w:t>
    </w:r>
    <w:r>
      <w:rPr>
        <w:rFonts w:ascii="宋体" w:hAnsi="宋体" w:eastAsia="宋体" w:cs="宋体"/>
        <w:spacing w:val="19"/>
        <w:w w:val="116"/>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89A3E">
    <w:pPr>
      <w:spacing w:before="1" w:line="235" w:lineRule="auto"/>
      <w:ind w:left="7558"/>
      <w:rPr>
        <w:rFonts w:ascii="宋体" w:hAnsi="宋体" w:eastAsia="宋体" w:cs="宋体"/>
        <w:sz w:val="28"/>
        <w:szCs w:val="28"/>
      </w:rPr>
    </w:pPr>
    <w:r>
      <w:rPr>
        <w:rFonts w:ascii="宋体" w:hAnsi="宋体" w:eastAsia="宋体" w:cs="宋体"/>
        <w:spacing w:val="26"/>
        <w:sz w:val="28"/>
        <w:szCs w:val="28"/>
      </w:rPr>
      <w:t>-</w:t>
    </w:r>
    <w:r>
      <w:rPr>
        <w:rFonts w:ascii="宋体" w:hAnsi="宋体" w:eastAsia="宋体" w:cs="宋体"/>
        <w:spacing w:val="67"/>
        <w:sz w:val="28"/>
        <w:szCs w:val="28"/>
      </w:rPr>
      <w:t xml:space="preserve"> </w:t>
    </w:r>
    <w:r>
      <w:rPr>
        <w:rFonts w:ascii="宋体" w:hAnsi="宋体" w:eastAsia="宋体" w:cs="宋体"/>
        <w:spacing w:val="26"/>
        <w:sz w:val="28"/>
        <w:szCs w:val="28"/>
      </w:rPr>
      <w:t>11</w:t>
    </w:r>
    <w:r>
      <w:rPr>
        <w:rFonts w:ascii="宋体" w:hAnsi="宋体" w:eastAsia="宋体" w:cs="宋体"/>
        <w:spacing w:val="36"/>
        <w:sz w:val="28"/>
        <w:szCs w:val="28"/>
      </w:rPr>
      <w:t xml:space="preserve"> </w:t>
    </w:r>
    <w:r>
      <w:rPr>
        <w:rFonts w:ascii="宋体" w:hAnsi="宋体" w:eastAsia="宋体" w:cs="宋体"/>
        <w:spacing w:val="26"/>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3945A5B"/>
    <w:rsid w:val="1D0B35C2"/>
    <w:rsid w:val="62CC45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4767</Words>
  <Characters>4915</Characters>
  <TotalTime>10</TotalTime>
  <ScaleCrop>false</ScaleCrop>
  <LinksUpToDate>false</LinksUpToDate>
  <CharactersWithSpaces>5002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2021-02-01T11:02:00Z</dcterms:created>
  <dc:creator>微软用户</dc:creator>
  <cp:lastModifiedBy>哆啦A梦</cp:lastModifiedBy>
  <dcterms:modified xsi:type="dcterms:W3CDTF">2026-09-08T12:03:01Z</dcterms:modified>
  <dc:title>玉溪市人民政府办公室关于参加全省政府职能转变和机构改革工作电视电话会议的通知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2025-03-13T22:22:24Z</vt:filetime>
  </property>
  <property fmtid="{D5CDD505-2E9C-101B-9397-08002B2CF9AE}" pid="4" name="KSOTemplateDocerSaveRecord">
    <vt:lpwstr>eyJoZGlkIjoiNjFiNjZmNzkyZmY5YzZlMDAyMTU0ZWM0OThkZTllNTUiLCJ1c2VySWQiOiI5NTg5OTI0NDgifQ==</vt:lpwstr>
  </property>
  <property fmtid="{D5CDD505-2E9C-101B-9397-08002B2CF9AE}" pid="5" name="KSOProductBuildVer">
    <vt:lpwstr>2052-12.1.0.28043</vt:lpwstr>
  </property>
  <property fmtid="{D5CDD505-2E9C-101B-9397-08002B2CF9AE}" pid="6" name="ICV">
    <vt:lpwstr>37A5C427F98D4684877E8EEAC2DDCFD5_12</vt:lpwstr>
  </property>
</Properties>
</file>