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BDB2C">
      <w:pPr>
        <w:rPr>
          <w:rFonts w:hint="eastAsia" w:ascii="黑体" w:hAnsi="黑体" w:eastAsia="黑体" w:cs="黑体"/>
          <w:b/>
          <w:sz w:val="36"/>
        </w:rPr>
      </w:pPr>
      <w:r>
        <w:rPr>
          <w:rFonts w:hint="eastAsia" w:ascii="黑体" w:hAnsi="黑体" w:eastAsia="黑体" w:cs="黑体"/>
          <w:b/>
          <w:sz w:val="36"/>
        </w:rPr>
        <w:t>监督索引号53042400136001401000</w:t>
      </w:r>
    </w:p>
    <w:p w14:paraId="005DD8D5">
      <w:pPr>
        <w:jc w:val="center"/>
        <w:outlineLvl w:val="0"/>
        <w:rPr>
          <w:rFonts w:hint="eastAsia"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lang w:val="zh-CN"/>
        </w:rPr>
        <w:t>华宁县幼儿园</w:t>
      </w:r>
      <w:r>
        <w:rPr>
          <w:rFonts w:hint="eastAsia" w:ascii="方正小标宋_GBK" w:hAnsi="方正小标宋_GBK" w:eastAsia="方正小标宋_GBK" w:cs="方正小标宋_GBK"/>
          <w:sz w:val="36"/>
          <w:szCs w:val="36"/>
          <w:highlight w:val="none"/>
          <w:lang w:val="en-US" w:eastAsia="zh-CN"/>
        </w:rPr>
        <w:t>2024</w:t>
      </w:r>
      <w:r>
        <w:rPr>
          <w:rFonts w:hint="eastAsia" w:ascii="方正小标宋_GBK" w:hAnsi="方正小标宋_GBK" w:eastAsia="方正小标宋_GBK" w:cs="方正小标宋_GBK"/>
          <w:sz w:val="36"/>
          <w:szCs w:val="36"/>
          <w:highlight w:val="none"/>
        </w:rPr>
        <w:t>年度部门决算</w:t>
      </w:r>
    </w:p>
    <w:p w14:paraId="5C1ED424">
      <w:pPr>
        <w:jc w:val="center"/>
        <w:outlineLvl w:val="0"/>
        <w:rPr>
          <w:rFonts w:hint="eastAsia" w:ascii="方正小标宋_GBK" w:hAnsi="方正小标宋_GBK" w:eastAsia="方正小标宋_GBK" w:cs="方正小标宋_GBK"/>
          <w:sz w:val="36"/>
          <w:szCs w:val="36"/>
          <w:lang w:val="zh-CN"/>
        </w:rPr>
      </w:pPr>
      <w:r>
        <w:rPr>
          <w:rFonts w:hint="eastAsia" w:ascii="方正小标宋_GBK" w:hAnsi="方正小标宋_GBK" w:eastAsia="方正小标宋_GBK" w:cs="方正小标宋_GBK"/>
          <w:sz w:val="36"/>
          <w:szCs w:val="36"/>
          <w:lang w:val="zh-CN" w:eastAsia="zh-CN"/>
        </w:rPr>
        <w:t>目录</w:t>
      </w:r>
    </w:p>
    <w:p w14:paraId="1678D53C">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单位</w:t>
      </w:r>
      <w:r>
        <w:rPr>
          <w:rFonts w:hint="eastAsia" w:ascii="黑体" w:hAnsi="黑体" w:eastAsia="黑体"/>
          <w:sz w:val="30"/>
          <w:szCs w:val="30"/>
          <w:highlight w:val="none"/>
        </w:rPr>
        <w:t>概况</w:t>
      </w:r>
    </w:p>
    <w:p w14:paraId="7EDD0D54">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一、主要职</w:t>
      </w:r>
      <w:r>
        <w:rPr>
          <w:rFonts w:hint="eastAsia" w:ascii="楷体" w:hAnsi="楷体" w:eastAsia="楷体"/>
          <w:sz w:val="30"/>
          <w:szCs w:val="30"/>
          <w:highlight w:val="none"/>
          <w:lang w:eastAsia="zh-CN"/>
        </w:rPr>
        <w:t>责</w:t>
      </w:r>
    </w:p>
    <w:p w14:paraId="72C72A5D">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二、</w:t>
      </w:r>
      <w:r>
        <w:rPr>
          <w:rFonts w:hint="eastAsia" w:ascii="楷体" w:hAnsi="楷体" w:eastAsia="楷体"/>
          <w:sz w:val="30"/>
          <w:szCs w:val="30"/>
          <w:highlight w:val="none"/>
          <w:lang w:eastAsia="zh-CN"/>
        </w:rPr>
        <w:t>基本情况</w:t>
      </w:r>
    </w:p>
    <w:p w14:paraId="43E09756">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三、重点工作概述</w:t>
      </w:r>
    </w:p>
    <w:p w14:paraId="549F874A">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年度部门决算表</w:t>
      </w:r>
    </w:p>
    <w:p w14:paraId="20806D3D">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14:paraId="4E715BB5">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二、收入决算表</w:t>
      </w:r>
    </w:p>
    <w:p w14:paraId="4087264E">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三、支出决算表</w:t>
      </w:r>
    </w:p>
    <w:p w14:paraId="193490D5">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四、财政拨款收入支出决算表</w:t>
      </w:r>
    </w:p>
    <w:p w14:paraId="2F897FBB">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14:paraId="6D2FAE37">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14:paraId="6A984A60">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14:paraId="3BBEC2D1">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14:paraId="01CB3271">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14:paraId="057D3153">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14:paraId="698D9D68">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val="en-US" w:eastAsia="zh-CN"/>
        </w:rPr>
        <w:t>十一、一般公共预算财政拨款“三公”经费情况表</w:t>
      </w:r>
    </w:p>
    <w:p w14:paraId="7D0EAC57">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年度部门决算情况说明</w:t>
      </w:r>
    </w:p>
    <w:p w14:paraId="397D90E1">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14:paraId="23A650AB">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14:paraId="15FADEB0">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14:paraId="025E0964">
      <w:pPr>
        <w:widowControl/>
        <w:snapToGrid w:val="0"/>
        <w:spacing w:before="100" w:after="100" w:line="360" w:lineRule="auto"/>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14:paraId="1AD6E108">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14:paraId="07F0764F">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14:paraId="430B2156">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14:paraId="1B00899A">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14:paraId="476AD0D1">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单位绩效自评情况</w:t>
      </w:r>
    </w:p>
    <w:p w14:paraId="72FC04F1">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14:paraId="5879879C">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14:paraId="37680224">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14:paraId="29224CEB">
      <w:pPr>
        <w:jc w:val="center"/>
        <w:rPr>
          <w:rFonts w:hint="eastAsia" w:ascii="黑体" w:hAnsi="黑体" w:eastAsia="黑体"/>
          <w:sz w:val="32"/>
          <w:szCs w:val="32"/>
          <w:highlight w:val="none"/>
        </w:rPr>
      </w:pPr>
    </w:p>
    <w:p w14:paraId="61080A1F">
      <w:pPr>
        <w:jc w:val="center"/>
        <w:rPr>
          <w:rFonts w:hint="eastAsia" w:ascii="黑体" w:hAnsi="黑体" w:eastAsia="黑体"/>
          <w:sz w:val="32"/>
          <w:szCs w:val="32"/>
          <w:highlight w:val="none"/>
        </w:rPr>
      </w:pPr>
    </w:p>
    <w:p w14:paraId="64C69C94">
      <w:pPr>
        <w:jc w:val="center"/>
        <w:rPr>
          <w:rFonts w:hint="eastAsia" w:ascii="黑体" w:hAnsi="黑体" w:eastAsia="黑体"/>
          <w:sz w:val="32"/>
          <w:szCs w:val="32"/>
          <w:highlight w:val="none"/>
        </w:rPr>
      </w:pPr>
    </w:p>
    <w:p w14:paraId="616D0CA7">
      <w:pPr>
        <w:jc w:val="center"/>
        <w:rPr>
          <w:rFonts w:hint="eastAsia" w:ascii="黑体" w:hAnsi="黑体" w:eastAsia="黑体"/>
          <w:sz w:val="32"/>
          <w:szCs w:val="32"/>
          <w:highlight w:val="none"/>
        </w:rPr>
      </w:pPr>
    </w:p>
    <w:p w14:paraId="08A4B776">
      <w:pPr>
        <w:jc w:val="center"/>
        <w:rPr>
          <w:rFonts w:hint="eastAsia" w:ascii="黑体" w:hAnsi="黑体" w:eastAsia="黑体"/>
          <w:sz w:val="32"/>
          <w:szCs w:val="32"/>
          <w:highlight w:val="none"/>
        </w:rPr>
      </w:pPr>
    </w:p>
    <w:p w14:paraId="37EB04CE">
      <w:pPr>
        <w:jc w:val="center"/>
        <w:rPr>
          <w:rFonts w:hint="eastAsia" w:ascii="黑体" w:hAnsi="黑体" w:eastAsia="黑体"/>
          <w:sz w:val="32"/>
          <w:szCs w:val="32"/>
          <w:highlight w:val="none"/>
        </w:rPr>
      </w:pPr>
    </w:p>
    <w:p w14:paraId="1896A8BD">
      <w:pPr>
        <w:jc w:val="center"/>
        <w:rPr>
          <w:rFonts w:hint="eastAsia" w:ascii="黑体" w:hAnsi="黑体" w:eastAsia="黑体"/>
          <w:sz w:val="32"/>
          <w:szCs w:val="32"/>
          <w:highlight w:val="none"/>
        </w:rPr>
      </w:pPr>
    </w:p>
    <w:p w14:paraId="51B2B792">
      <w:pPr>
        <w:jc w:val="both"/>
        <w:rPr>
          <w:rFonts w:hint="eastAsia" w:ascii="黑体" w:hAnsi="黑体" w:eastAsia="黑体"/>
          <w:sz w:val="32"/>
          <w:szCs w:val="32"/>
          <w:highlight w:val="none"/>
        </w:rPr>
      </w:pPr>
    </w:p>
    <w:p w14:paraId="1E82377B">
      <w:pPr>
        <w:jc w:val="center"/>
        <w:outlineLvl w:val="0"/>
        <w:rPr>
          <w:rFonts w:hint="eastAsia" w:ascii="黑体" w:hAnsi="黑体" w:eastAsia="黑体"/>
          <w:sz w:val="32"/>
          <w:szCs w:val="32"/>
          <w:highlight w:val="none"/>
        </w:rPr>
      </w:pPr>
    </w:p>
    <w:p w14:paraId="39FE5B77">
      <w:pPr>
        <w:jc w:val="center"/>
        <w:outlineLvl w:val="0"/>
        <w:rPr>
          <w:rFonts w:hint="eastAsia" w:ascii="黑体" w:hAnsi="黑体" w:eastAsia="黑体"/>
          <w:sz w:val="32"/>
          <w:szCs w:val="32"/>
          <w:highlight w:val="none"/>
        </w:rPr>
      </w:pPr>
    </w:p>
    <w:p w14:paraId="7BE9D00F">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单位</w:t>
      </w:r>
      <w:r>
        <w:rPr>
          <w:rFonts w:hint="eastAsia" w:ascii="黑体" w:hAnsi="黑体" w:eastAsia="黑体"/>
          <w:sz w:val="32"/>
          <w:szCs w:val="32"/>
          <w:highlight w:val="none"/>
        </w:rPr>
        <w:t>概况</w:t>
      </w:r>
    </w:p>
    <w:p w14:paraId="06116D06">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rPr>
        <w:t>一、主要</w:t>
      </w:r>
      <w:r>
        <w:rPr>
          <w:rFonts w:hint="eastAsia" w:ascii="黑体" w:hAnsi="黑体" w:eastAsia="黑体"/>
          <w:sz w:val="30"/>
          <w:szCs w:val="30"/>
          <w:highlight w:val="none"/>
          <w:lang w:eastAsia="zh-CN"/>
        </w:rPr>
        <w:t>职责</w:t>
      </w:r>
    </w:p>
    <w:p w14:paraId="6D1C57F2">
      <w:pPr>
        <w:pStyle w:val="2"/>
        <w:adjustRightInd w:val="0"/>
        <w:snapToGrid w:val="0"/>
        <w:spacing w:line="600" w:lineRule="exact"/>
        <w:ind w:firstLine="630" w:firstLineChars="210"/>
        <w:rPr>
          <w:rFonts w:hint="eastAsia" w:ascii="仿宋" w:hAnsi="仿宋" w:eastAsia="仿宋" w:cs="仿宋"/>
          <w:bCs/>
          <w:sz w:val="30"/>
          <w:szCs w:val="30"/>
          <w:highlight w:val="none"/>
        </w:rPr>
      </w:pPr>
      <w:r>
        <w:rPr>
          <w:rFonts w:hint="eastAsia" w:ascii="仿宋" w:hAnsi="仿宋" w:eastAsia="仿宋" w:cs="仿宋"/>
          <w:sz w:val="30"/>
          <w:szCs w:val="30"/>
          <w:highlight w:val="none"/>
        </w:rPr>
        <w:t>全面执行、贯彻党和国家的教育方针、政策、法规，认真执行国家的课程计划和有关规定，建立健全和完善相关规章制度，依法办学，促进学前教育发展</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实行保育与教育相结合的原则，对幼儿实施体、智、德、美全面发展的教育，促进其身心和谐发展；全面负责本园思想政治教育和党建工作，确保正确办学方向，维护受教育者、教师及其他职工的合法权益；做好经费收支管理工作，做好教师的人员调配、考核、聘任、职称评聘等工作，管理好校产及各类资产积极争取社会各方面的支持督促、协调、开展幼儿园的教育教学工作；建立健全安全制度和应急机制，对师生进行安全教育，加强管理，及时消除隐患，预防发生事故；完成主管部门交办的其他工作。</w:t>
      </w:r>
    </w:p>
    <w:p w14:paraId="65DA125D">
      <w:pPr>
        <w:spacing w:line="600" w:lineRule="exact"/>
        <w:ind w:firstLine="600" w:firstLineChars="200"/>
        <w:outlineLvl w:val="1"/>
        <w:rPr>
          <w:rFonts w:hint="eastAsia" w:ascii="黑体" w:hAnsi="黑体" w:eastAsia="黑体"/>
          <w:sz w:val="30"/>
          <w:szCs w:val="30"/>
          <w:highlight w:val="none"/>
        </w:rPr>
      </w:pPr>
      <w:r>
        <w:rPr>
          <w:rFonts w:hint="eastAsia" w:ascii="黑体" w:hAnsi="黑体" w:eastAsia="黑体"/>
          <w:sz w:val="30"/>
          <w:szCs w:val="30"/>
          <w:highlight w:val="none"/>
        </w:rPr>
        <w:t>二、基本情况</w:t>
      </w:r>
    </w:p>
    <w:p w14:paraId="2F0BBD4A">
      <w:pPr>
        <w:spacing w:line="600" w:lineRule="exact"/>
        <w:ind w:firstLine="600" w:firstLineChars="200"/>
        <w:outlineLvl w:val="1"/>
        <w:rPr>
          <w:rFonts w:hint="eastAsia" w:ascii="楷体" w:hAnsi="楷体" w:eastAsia="楷体" w:cs="楷体"/>
          <w:sz w:val="30"/>
          <w:szCs w:val="30"/>
          <w:highlight w:val="none"/>
          <w:lang w:val="en-US" w:eastAsia="zh-CN"/>
        </w:rPr>
      </w:pPr>
      <w:r>
        <w:rPr>
          <w:rFonts w:hint="eastAsia" w:ascii="楷体" w:hAnsi="楷体" w:eastAsia="楷体" w:cs="楷体"/>
          <w:sz w:val="30"/>
          <w:szCs w:val="30"/>
          <w:highlight w:val="none"/>
          <w:lang w:val="en-US" w:eastAsia="zh-CN"/>
        </w:rPr>
        <w:t>（一）机构设置情况</w:t>
      </w:r>
    </w:p>
    <w:p w14:paraId="638AC760">
      <w:pPr>
        <w:pStyle w:val="2"/>
        <w:adjustRightInd w:val="0"/>
        <w:snapToGrid w:val="0"/>
        <w:spacing w:line="600" w:lineRule="exact"/>
        <w:ind w:firstLine="630" w:firstLineChars="21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我单位共设置3个内设机构，包括：包括行政办公室、教务处和后勤处，各内设机构职能如下：</w:t>
      </w:r>
    </w:p>
    <w:p w14:paraId="1D68FB46">
      <w:pPr>
        <w:pStyle w:val="2"/>
        <w:adjustRightInd w:val="0"/>
        <w:snapToGrid w:val="0"/>
        <w:spacing w:line="600" w:lineRule="exact"/>
        <w:ind w:firstLine="630" w:firstLineChars="21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1、行政办公室工作职责：承担学校政务、事务的综合协调工作，负责上级和学校重要党政工作部署的落实和督促检查工作等。</w:t>
      </w:r>
    </w:p>
    <w:p w14:paraId="365ED2FA">
      <w:pPr>
        <w:pStyle w:val="2"/>
        <w:adjustRightInd w:val="0"/>
        <w:snapToGrid w:val="0"/>
        <w:spacing w:line="600" w:lineRule="exact"/>
        <w:ind w:firstLine="630" w:firstLineChars="21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2、教务处工作职责：编制学年进程计划、编制校历、安排课程表、下达教学任务；抓好教学建设，做好日常教学管理和监控考评等。</w:t>
      </w:r>
    </w:p>
    <w:p w14:paraId="57E99B7A">
      <w:pPr>
        <w:pStyle w:val="2"/>
        <w:adjustRightInd w:val="0"/>
        <w:snapToGrid w:val="0"/>
        <w:spacing w:line="600" w:lineRule="exact"/>
        <w:ind w:firstLine="630" w:firstLineChars="21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3、后勤处工作职责：做好我园账务、土地、房屋、物资、设备的管理；负责安排学院教学、办公、后勤等所需设备的采购等保障工作。</w:t>
      </w:r>
    </w:p>
    <w:p w14:paraId="151628C6">
      <w:pPr>
        <w:pStyle w:val="2"/>
        <w:adjustRightInd w:val="0"/>
        <w:snapToGrid w:val="0"/>
        <w:spacing w:line="600" w:lineRule="exact"/>
        <w:ind w:firstLine="630" w:firstLineChars="21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我单位为基层预算单位，无下属单位。</w:t>
      </w:r>
    </w:p>
    <w:p w14:paraId="71B85015">
      <w:pPr>
        <w:spacing w:line="600" w:lineRule="exact"/>
        <w:ind w:firstLine="600" w:firstLineChars="200"/>
        <w:outlineLvl w:val="1"/>
        <w:rPr>
          <w:rFonts w:hint="eastAsia" w:ascii="楷体" w:hAnsi="楷体" w:eastAsia="楷体" w:cs="楷体"/>
          <w:sz w:val="30"/>
          <w:szCs w:val="30"/>
          <w:highlight w:val="none"/>
          <w:lang w:val="en-US" w:eastAsia="zh-CN"/>
        </w:rPr>
      </w:pPr>
      <w:r>
        <w:rPr>
          <w:rFonts w:hint="eastAsia" w:ascii="楷体" w:hAnsi="楷体" w:eastAsia="楷体" w:cs="楷体"/>
          <w:sz w:val="30"/>
          <w:szCs w:val="30"/>
          <w:highlight w:val="none"/>
          <w:lang w:val="en-US" w:eastAsia="zh-CN"/>
        </w:rPr>
        <w:t>（二）决算单位构成</w:t>
      </w:r>
    </w:p>
    <w:p w14:paraId="0562A450">
      <w:pPr>
        <w:pStyle w:val="2"/>
        <w:adjustRightInd w:val="0"/>
        <w:snapToGrid w:val="0"/>
        <w:spacing w:line="600" w:lineRule="exact"/>
        <w:ind w:firstLine="630" w:firstLineChars="21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我单位作为华宁县教育体育局的二级预算单位纳入2024年度部门决算编报范围。</w:t>
      </w:r>
    </w:p>
    <w:p w14:paraId="6ACAD5D5">
      <w:pPr>
        <w:spacing w:line="600" w:lineRule="exact"/>
        <w:ind w:firstLine="600" w:firstLineChars="200"/>
        <w:outlineLvl w:val="1"/>
        <w:rPr>
          <w:rFonts w:hint="eastAsia" w:ascii="楷体" w:hAnsi="楷体" w:eastAsia="楷体" w:cs="楷体"/>
          <w:sz w:val="30"/>
          <w:szCs w:val="30"/>
          <w:highlight w:val="none"/>
          <w:lang w:val="en-US" w:eastAsia="zh-CN"/>
        </w:rPr>
      </w:pPr>
      <w:r>
        <w:rPr>
          <w:rFonts w:hint="eastAsia" w:ascii="楷体" w:hAnsi="楷体" w:eastAsia="楷体" w:cs="楷体"/>
          <w:sz w:val="30"/>
          <w:szCs w:val="30"/>
          <w:highlight w:val="none"/>
          <w:lang w:val="en-US" w:eastAsia="zh-CN"/>
        </w:rPr>
        <w:t xml:space="preserve">（三）单位人员和车辆的编制及实有情况 </w:t>
      </w:r>
    </w:p>
    <w:p w14:paraId="0945E415">
      <w:pPr>
        <w:pStyle w:val="2"/>
        <w:adjustRightInd w:val="0"/>
        <w:snapToGrid w:val="0"/>
        <w:spacing w:line="600" w:lineRule="exact"/>
        <w:ind w:firstLine="630" w:firstLineChars="21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我单位2024年末编制内实有人员74人。包括财政拨款开支经费的：公务员0人，参照公务员法管理人员0人，事业管理人员和专业技术人员74人，机关和事业工人0人；经费自理人员0人。</w:t>
      </w:r>
    </w:p>
    <w:p w14:paraId="5A9CE912">
      <w:pPr>
        <w:pStyle w:val="2"/>
        <w:adjustRightInd w:val="0"/>
        <w:snapToGrid w:val="0"/>
        <w:spacing w:line="600" w:lineRule="exact"/>
        <w:ind w:firstLine="630" w:firstLineChars="21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我单位2024年末其他人员0人。包括财政拨款开支经费的人员0人；经费自理人员0人。</w:t>
      </w:r>
    </w:p>
    <w:p w14:paraId="4C3C5C2F">
      <w:pPr>
        <w:pStyle w:val="2"/>
        <w:adjustRightInd w:val="0"/>
        <w:snapToGrid w:val="0"/>
        <w:spacing w:line="600" w:lineRule="exact"/>
        <w:ind w:firstLine="630" w:firstLineChars="21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年末尚未移交养老保险基金发放养老金的离退休人员共计0人（离休0人，退休0人）。年末由养老保险基金发放养老金的离退休人员8人（离休0人，退休8人）。年末学生1,185人。年末遗属0人。</w:t>
      </w:r>
    </w:p>
    <w:p w14:paraId="26EFB9B1">
      <w:pPr>
        <w:pStyle w:val="2"/>
        <w:adjustRightInd w:val="0"/>
        <w:snapToGrid w:val="0"/>
        <w:spacing w:line="600" w:lineRule="exact"/>
        <w:ind w:firstLine="630" w:firstLineChars="21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车辆编制0辆，在编实有车辆0辆，超编0辆。</w:t>
      </w:r>
    </w:p>
    <w:p w14:paraId="2D3E9ABD">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lang w:val="en-US" w:eastAsia="zh-CN"/>
        </w:rPr>
        <w:t>三、</w:t>
      </w:r>
      <w:r>
        <w:rPr>
          <w:rFonts w:hint="eastAsia" w:ascii="黑体" w:hAnsi="黑体" w:eastAsia="黑体"/>
          <w:sz w:val="30"/>
          <w:szCs w:val="30"/>
          <w:highlight w:val="none"/>
          <w:lang w:eastAsia="zh-CN"/>
        </w:rPr>
        <w:t>重点工作概述</w:t>
      </w:r>
    </w:p>
    <w:p w14:paraId="0C8A234B">
      <w:pPr>
        <w:pStyle w:val="2"/>
        <w:adjustRightInd w:val="0"/>
        <w:snapToGrid w:val="0"/>
        <w:spacing w:line="600" w:lineRule="exact"/>
        <w:ind w:firstLine="630" w:firstLineChars="21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1、加强思想政治工作及幼儿园安全工作，确保幼儿园的持续健康发展。幼儿园领导班子牢牢把握住正确的政治方向，坚持利用例会时间、强化教师师德师风建设。</w:t>
      </w:r>
    </w:p>
    <w:p w14:paraId="7D0BD715">
      <w:pPr>
        <w:pStyle w:val="2"/>
        <w:adjustRightInd w:val="0"/>
        <w:snapToGrid w:val="0"/>
        <w:spacing w:line="600" w:lineRule="exact"/>
        <w:ind w:firstLine="630" w:firstLineChars="21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2、开展幼儿德育活动。通过多种有效途径加强幼儿爱国主义教育和公民道德教育，强化法制、安全、心理健康教育，收到较好效果。</w:t>
      </w:r>
    </w:p>
    <w:p w14:paraId="0EC34E26">
      <w:pPr>
        <w:pStyle w:val="2"/>
        <w:adjustRightInd w:val="0"/>
        <w:snapToGrid w:val="0"/>
        <w:spacing w:line="600" w:lineRule="exact"/>
        <w:ind w:firstLine="630" w:firstLineChars="21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开展教学和教研活动。加强教学常规管理：每月一次教学常规检查实实在在，有条不紊。重视教学工作的过程，及时总结反馈，共同探讨解决。教导处加强督促并落实各项教学常规管理工作，提高教师上课、听课、备课等工作要求，落实监督检查，促成工作实效。</w:t>
      </w:r>
    </w:p>
    <w:p w14:paraId="1AD0FFB4">
      <w:pPr>
        <w:pStyle w:val="2"/>
        <w:adjustRightInd w:val="0"/>
        <w:snapToGrid w:val="0"/>
        <w:spacing w:line="600" w:lineRule="exact"/>
        <w:ind w:firstLine="630" w:firstLineChars="21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4、加大基础设施投入，办学条件得到根本改善。本学年，学校添置了厨房电器化设备，改善了厨房环境，节约了资源；在幼儿园建设上下大力气，求大发展，使校园硬件设施不断完善，创造了良好的教学和学习环境。各功能室配齐了各种设施设备，校园文化建设进一步提升。</w:t>
      </w:r>
    </w:p>
    <w:p w14:paraId="107E898E">
      <w:pPr>
        <w:spacing w:line="600" w:lineRule="exact"/>
        <w:ind w:firstLine="600" w:firstLineChars="200"/>
        <w:rPr>
          <w:rFonts w:hint="eastAsia" w:ascii="仿宋_GB2312" w:eastAsia="仿宋_GB2312"/>
          <w:sz w:val="30"/>
          <w:szCs w:val="30"/>
          <w:highlight w:val="none"/>
        </w:rPr>
      </w:pPr>
    </w:p>
    <w:p w14:paraId="2083D549">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年度部门决算表</w:t>
      </w:r>
    </w:p>
    <w:p w14:paraId="70262147">
      <w:pPr>
        <w:pStyle w:val="2"/>
        <w:adjustRightInd w:val="0"/>
        <w:snapToGrid w:val="0"/>
        <w:spacing w:line="600" w:lineRule="exact"/>
        <w:ind w:firstLine="630" w:firstLineChars="21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（详见附件）</w:t>
      </w:r>
    </w:p>
    <w:p w14:paraId="7C445A2C">
      <w:pPr>
        <w:pStyle w:val="2"/>
        <w:adjustRightInd w:val="0"/>
        <w:snapToGrid w:val="0"/>
        <w:spacing w:line="600" w:lineRule="exact"/>
        <w:ind w:firstLine="630" w:firstLineChars="21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华宁县幼儿园没有政府性基金收入，也没有政府性基金安排的支出，《政府性基金预算财政拨款收入支出决算表》为空表。</w:t>
      </w:r>
    </w:p>
    <w:p w14:paraId="0E28C500">
      <w:pPr>
        <w:pStyle w:val="2"/>
        <w:adjustRightInd w:val="0"/>
        <w:snapToGrid w:val="0"/>
        <w:spacing w:line="600" w:lineRule="exact"/>
        <w:ind w:firstLine="630" w:firstLineChars="21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华宁县幼儿园没有国有资本经营预算财政拨款收入，也没有国有资本经营预算财政拨款安排的支出，《国有资本经营预算财政拨款收入支出决算表》为空表。</w:t>
      </w:r>
    </w:p>
    <w:p w14:paraId="0952CAB0">
      <w:pPr>
        <w:pStyle w:val="2"/>
        <w:adjustRightInd w:val="0"/>
        <w:snapToGrid w:val="0"/>
        <w:spacing w:line="600" w:lineRule="exact"/>
        <w:ind w:firstLine="630" w:firstLineChars="21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华宁县幼儿园2024年度没有一般公共预算财政拨款“三公”经费、行政参公单位机关运行经费收支，《“三公”经费、行政参公单位机关运行经费情况表》为空表。</w:t>
      </w:r>
    </w:p>
    <w:p w14:paraId="0CB06B81">
      <w:pPr>
        <w:spacing w:line="600" w:lineRule="exact"/>
        <w:ind w:firstLine="600" w:firstLineChars="200"/>
        <w:jc w:val="left"/>
        <w:rPr>
          <w:rFonts w:hint="eastAsia" w:ascii="仿宋_GB2312" w:eastAsia="仿宋_GB2312"/>
          <w:sz w:val="30"/>
          <w:szCs w:val="30"/>
          <w:highlight w:val="none"/>
          <w:lang w:eastAsia="zh-CN"/>
        </w:rPr>
      </w:pPr>
    </w:p>
    <w:p w14:paraId="5F7A8545">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年度部门决算情况说明</w:t>
      </w:r>
    </w:p>
    <w:p w14:paraId="480D1ABF">
      <w:pPr>
        <w:spacing w:line="600" w:lineRule="exact"/>
        <w:ind w:firstLine="600" w:firstLineChars="200"/>
        <w:outlineLvl w:val="1"/>
        <w:rPr>
          <w:rFonts w:hint="eastAsia" w:ascii="黑体" w:hAnsi="黑体" w:eastAsia="黑体"/>
          <w:sz w:val="30"/>
          <w:szCs w:val="30"/>
          <w:highlight w:val="none"/>
          <w:lang w:val="en-US" w:eastAsia="zh-CN"/>
        </w:rPr>
      </w:pPr>
      <w:r>
        <w:rPr>
          <w:rFonts w:hint="eastAsia" w:ascii="黑体" w:hAnsi="黑体" w:eastAsia="黑体"/>
          <w:sz w:val="30"/>
          <w:szCs w:val="30"/>
          <w:highlight w:val="none"/>
          <w:lang w:val="en-US" w:eastAsia="zh-CN"/>
        </w:rPr>
        <w:t>一、收入决算情况说明</w:t>
      </w:r>
    </w:p>
    <w:p w14:paraId="4EC9E0FE">
      <w:pPr>
        <w:pStyle w:val="2"/>
        <w:adjustRightInd w:val="0"/>
        <w:snapToGrid w:val="0"/>
        <w:spacing w:line="600" w:lineRule="exact"/>
        <w:ind w:firstLine="630" w:firstLineChars="21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zh-CN" w:eastAsia="zh-CN"/>
        </w:rPr>
        <w:t>华宁县幼儿园</w:t>
      </w:r>
      <w:r>
        <w:rPr>
          <w:rFonts w:hint="eastAsia" w:ascii="仿宋" w:hAnsi="仿宋" w:eastAsia="仿宋" w:cs="仿宋"/>
          <w:sz w:val="30"/>
          <w:szCs w:val="30"/>
          <w:highlight w:val="none"/>
          <w:lang w:val="en-US" w:eastAsia="zh-CN"/>
        </w:rPr>
        <w:t>2024年度收入合计</w:t>
      </w:r>
      <w:r>
        <w:rPr>
          <w:rFonts w:hint="eastAsia" w:ascii="仿宋" w:hAnsi="仿宋" w:eastAsia="仿宋" w:cs="仿宋"/>
          <w:sz w:val="30"/>
          <w:szCs w:val="30"/>
          <w:highlight w:val="none"/>
          <w:lang w:val="zh-CN" w:eastAsia="zh-CN"/>
        </w:rPr>
        <w:t>28</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899</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307.30</w:t>
      </w:r>
      <w:r>
        <w:rPr>
          <w:rFonts w:hint="eastAsia" w:ascii="仿宋" w:hAnsi="仿宋" w:eastAsia="仿宋" w:cs="仿宋"/>
          <w:sz w:val="30"/>
          <w:szCs w:val="30"/>
          <w:highlight w:val="none"/>
          <w:lang w:val="en-US" w:eastAsia="zh-CN"/>
        </w:rPr>
        <w:t>元。其中：财政拨款收入</w:t>
      </w:r>
      <w:r>
        <w:rPr>
          <w:rFonts w:hint="eastAsia" w:ascii="仿宋" w:hAnsi="仿宋" w:eastAsia="仿宋" w:cs="仿宋"/>
          <w:sz w:val="30"/>
          <w:szCs w:val="30"/>
          <w:highlight w:val="none"/>
          <w:lang w:val="zh-CN" w:eastAsia="zh-CN"/>
        </w:rPr>
        <w:t>28</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879</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276.39</w:t>
      </w:r>
      <w:r>
        <w:rPr>
          <w:rFonts w:hint="eastAsia" w:ascii="仿宋" w:hAnsi="仿宋" w:eastAsia="仿宋" w:cs="仿宋"/>
          <w:sz w:val="30"/>
          <w:szCs w:val="30"/>
          <w:highlight w:val="none"/>
          <w:lang w:val="en-US" w:eastAsia="zh-CN"/>
        </w:rPr>
        <w:t>元，占总收入的</w:t>
      </w:r>
      <w:r>
        <w:rPr>
          <w:rFonts w:hint="eastAsia" w:ascii="仿宋" w:hAnsi="仿宋" w:eastAsia="仿宋" w:cs="仿宋"/>
          <w:sz w:val="30"/>
          <w:szCs w:val="30"/>
          <w:highlight w:val="none"/>
          <w:lang w:val="zh-CN" w:eastAsia="zh-CN"/>
        </w:rPr>
        <w:t>99.93</w:t>
      </w:r>
      <w:r>
        <w:rPr>
          <w:rFonts w:hint="eastAsia" w:ascii="仿宋" w:hAnsi="仿宋" w:eastAsia="仿宋" w:cs="仿宋"/>
          <w:sz w:val="30"/>
          <w:szCs w:val="30"/>
          <w:highlight w:val="none"/>
          <w:lang w:val="en-US" w:eastAsia="zh-CN"/>
        </w:rPr>
        <w:t>%；上级补助收入</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元，占总收入的</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%；事业收入</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元（含教育收费</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元），占总收入的</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%；经营收入</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元，占总收入的</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%；附属单位上缴收入</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元，占总收入的</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%；其他收入</w:t>
      </w:r>
      <w:r>
        <w:rPr>
          <w:rFonts w:hint="eastAsia" w:ascii="仿宋" w:hAnsi="仿宋" w:eastAsia="仿宋" w:cs="仿宋"/>
          <w:sz w:val="30"/>
          <w:szCs w:val="30"/>
          <w:highlight w:val="none"/>
          <w:lang w:val="zh-CN" w:eastAsia="zh-CN"/>
        </w:rPr>
        <w:t>20</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030.91</w:t>
      </w:r>
      <w:r>
        <w:rPr>
          <w:rFonts w:hint="eastAsia" w:ascii="仿宋" w:hAnsi="仿宋" w:eastAsia="仿宋" w:cs="仿宋"/>
          <w:sz w:val="30"/>
          <w:szCs w:val="30"/>
          <w:highlight w:val="none"/>
          <w:lang w:val="en-US" w:eastAsia="zh-CN"/>
        </w:rPr>
        <w:t>元，占总收入的</w:t>
      </w:r>
      <w:r>
        <w:rPr>
          <w:rFonts w:hint="eastAsia" w:ascii="仿宋" w:hAnsi="仿宋" w:eastAsia="仿宋" w:cs="仿宋"/>
          <w:sz w:val="30"/>
          <w:szCs w:val="30"/>
          <w:highlight w:val="none"/>
          <w:lang w:val="zh-CN" w:eastAsia="zh-CN"/>
        </w:rPr>
        <w:t>0.07</w:t>
      </w:r>
      <w:r>
        <w:rPr>
          <w:rFonts w:hint="eastAsia" w:ascii="仿宋" w:hAnsi="仿宋" w:eastAsia="仿宋" w:cs="仿宋"/>
          <w:sz w:val="30"/>
          <w:szCs w:val="30"/>
          <w:highlight w:val="none"/>
          <w:lang w:val="en-US" w:eastAsia="zh-CN"/>
        </w:rPr>
        <w:t>%。</w:t>
      </w:r>
    </w:p>
    <w:p w14:paraId="3D51EED9">
      <w:pPr>
        <w:pStyle w:val="2"/>
        <w:adjustRightInd w:val="0"/>
        <w:snapToGrid w:val="0"/>
        <w:spacing w:line="600" w:lineRule="exact"/>
        <w:ind w:firstLine="630" w:firstLineChars="210"/>
        <w:rPr>
          <w:rFonts w:hint="eastAsia" w:ascii="仿宋" w:hAnsi="仿宋" w:eastAsia="仿宋" w:cs="仿宋"/>
          <w:sz w:val="32"/>
          <w:szCs w:val="32"/>
          <w:highlight w:val="none"/>
          <w:lang w:val="en-US" w:eastAsia="zh-CN"/>
        </w:rPr>
      </w:pPr>
      <w:r>
        <w:rPr>
          <w:rFonts w:hint="eastAsia" w:ascii="仿宋" w:hAnsi="仿宋" w:eastAsia="仿宋" w:cs="仿宋"/>
          <w:sz w:val="30"/>
          <w:szCs w:val="30"/>
          <w:highlight w:val="none"/>
          <w:lang w:val="en-US" w:eastAsia="zh-CN"/>
        </w:rPr>
        <w:t>与上年相比，收入合计增加</w:t>
      </w:r>
      <w:r>
        <w:rPr>
          <w:rFonts w:hint="eastAsia" w:ascii="仿宋" w:hAnsi="仿宋" w:eastAsia="仿宋" w:cs="仿宋"/>
          <w:sz w:val="30"/>
          <w:szCs w:val="30"/>
          <w:highlight w:val="none"/>
          <w:lang w:val="zh-CN" w:eastAsia="zh-CN"/>
        </w:rPr>
        <w:t>14</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358</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046.60</w:t>
      </w:r>
      <w:r>
        <w:rPr>
          <w:rFonts w:hint="eastAsia" w:ascii="仿宋" w:hAnsi="仿宋" w:eastAsia="仿宋" w:cs="仿宋"/>
          <w:sz w:val="30"/>
          <w:szCs w:val="30"/>
          <w:highlight w:val="none"/>
          <w:lang w:val="en-US" w:eastAsia="zh-CN"/>
        </w:rPr>
        <w:t>元，增长</w:t>
      </w:r>
      <w:r>
        <w:rPr>
          <w:rFonts w:hint="eastAsia" w:ascii="仿宋" w:hAnsi="仿宋" w:eastAsia="仿宋" w:cs="仿宋"/>
          <w:sz w:val="30"/>
          <w:szCs w:val="30"/>
          <w:highlight w:val="none"/>
          <w:lang w:val="zh-CN" w:eastAsia="zh-CN"/>
        </w:rPr>
        <w:t>98.74</w:t>
      </w:r>
      <w:r>
        <w:rPr>
          <w:rFonts w:hint="eastAsia" w:ascii="仿宋" w:hAnsi="仿宋" w:eastAsia="仿宋" w:cs="仿宋"/>
          <w:sz w:val="30"/>
          <w:szCs w:val="30"/>
          <w:highlight w:val="none"/>
          <w:lang w:val="en-US" w:eastAsia="zh-CN"/>
        </w:rPr>
        <w:t>%。其中：财政拨款收入增加</w:t>
      </w:r>
      <w:r>
        <w:rPr>
          <w:rFonts w:hint="eastAsia" w:ascii="仿宋" w:hAnsi="仿宋" w:eastAsia="仿宋" w:cs="仿宋"/>
          <w:sz w:val="30"/>
          <w:szCs w:val="30"/>
          <w:highlight w:val="none"/>
          <w:lang w:val="zh-CN" w:eastAsia="zh-CN"/>
        </w:rPr>
        <w:t>14</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338</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015.69</w:t>
      </w:r>
      <w:r>
        <w:rPr>
          <w:rFonts w:hint="eastAsia" w:ascii="仿宋" w:hAnsi="仿宋" w:eastAsia="仿宋" w:cs="仿宋"/>
          <w:sz w:val="30"/>
          <w:szCs w:val="30"/>
          <w:highlight w:val="none"/>
          <w:lang w:val="en-US" w:eastAsia="zh-CN"/>
        </w:rPr>
        <w:t>元，增长</w:t>
      </w:r>
      <w:r>
        <w:rPr>
          <w:rFonts w:hint="eastAsia" w:ascii="仿宋" w:hAnsi="仿宋" w:eastAsia="仿宋" w:cs="仿宋"/>
          <w:sz w:val="30"/>
          <w:szCs w:val="30"/>
          <w:highlight w:val="none"/>
          <w:lang w:val="zh-CN" w:eastAsia="zh-CN"/>
        </w:rPr>
        <w:t>98.60</w:t>
      </w:r>
      <w:r>
        <w:rPr>
          <w:rFonts w:hint="eastAsia" w:ascii="仿宋" w:hAnsi="仿宋" w:eastAsia="仿宋" w:cs="仿宋"/>
          <w:sz w:val="30"/>
          <w:szCs w:val="30"/>
          <w:highlight w:val="none"/>
          <w:lang w:val="en-US" w:eastAsia="zh-CN"/>
        </w:rPr>
        <w:t>%；上级补助收入增加</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元，增长</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%；事业收入增加</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元，增长</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%；经营收入增加</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元，增长</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%；附属单位上缴收入增加</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元，增长</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%；其他收入增加</w:t>
      </w:r>
      <w:r>
        <w:rPr>
          <w:rFonts w:hint="eastAsia" w:ascii="仿宋" w:hAnsi="仿宋" w:eastAsia="仿宋" w:cs="仿宋"/>
          <w:sz w:val="30"/>
          <w:szCs w:val="30"/>
          <w:highlight w:val="none"/>
          <w:lang w:val="zh-CN" w:eastAsia="zh-CN"/>
        </w:rPr>
        <w:t>20030.91</w:t>
      </w:r>
      <w:r>
        <w:rPr>
          <w:rFonts w:hint="eastAsia" w:ascii="仿宋" w:hAnsi="仿宋" w:eastAsia="仿宋" w:cs="仿宋"/>
          <w:sz w:val="30"/>
          <w:szCs w:val="30"/>
          <w:highlight w:val="none"/>
          <w:lang w:val="en-US" w:eastAsia="zh-CN"/>
        </w:rPr>
        <w:t>元，增长</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%。主要原因是2024年我园收财政拨款华宁县宁州幼儿园新建项目资金15,050,000.00元,其它收入20,030.91元。</w:t>
      </w:r>
    </w:p>
    <w:p w14:paraId="2B95F377">
      <w:pPr>
        <w:spacing w:line="600" w:lineRule="exact"/>
        <w:ind w:firstLine="600" w:firstLineChars="200"/>
        <w:outlineLvl w:val="1"/>
        <w:rPr>
          <w:rFonts w:hint="eastAsia" w:ascii="黑体" w:hAnsi="黑体" w:eastAsia="黑体"/>
          <w:sz w:val="30"/>
          <w:szCs w:val="30"/>
          <w:highlight w:val="none"/>
          <w:lang w:val="en-US" w:eastAsia="zh-CN"/>
        </w:rPr>
      </w:pPr>
      <w:r>
        <w:rPr>
          <w:rFonts w:hint="eastAsia" w:ascii="黑体" w:hAnsi="黑体" w:eastAsia="黑体"/>
          <w:sz w:val="30"/>
          <w:szCs w:val="30"/>
          <w:highlight w:val="none"/>
          <w:lang w:val="en-US" w:eastAsia="zh-CN"/>
        </w:rPr>
        <w:t>二、支出决算情况说明</w:t>
      </w:r>
    </w:p>
    <w:p w14:paraId="7DC129A6">
      <w:pPr>
        <w:pStyle w:val="2"/>
        <w:adjustRightInd w:val="0"/>
        <w:snapToGrid w:val="0"/>
        <w:spacing w:line="600" w:lineRule="exact"/>
        <w:ind w:firstLine="630" w:firstLineChars="21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华宁县幼儿园</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lang w:val="zh-CN" w:eastAsia="zh-CN"/>
        </w:rPr>
        <w:t>年度支出合计28</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907</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269.89元。其中：基本支出11</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815</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393.97元，占总支出的40.87％；项目支出17</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091</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875.92元，占总支出的59.13％；上缴上级支出0.00元，占总支出的0.00％；经营支出0.00元，占总支出的0.00％；对附属单位补助支出0.00元，占总支出的0.00％。</w:t>
      </w:r>
    </w:p>
    <w:p w14:paraId="161B5847">
      <w:pPr>
        <w:pStyle w:val="2"/>
        <w:adjustRightInd w:val="0"/>
        <w:snapToGrid w:val="0"/>
        <w:spacing w:line="600" w:lineRule="exact"/>
        <w:ind w:firstLine="630" w:firstLineChars="21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与上年相比，支出合计增加14</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366</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009.19元，增长98.79%。其中：基本支出增加744</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452.34元，增长6.72%；项目支出增加13</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621</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556.85元，增长392.52%；上缴上级支出增加0.00元，增长0.00%；经营支出增加0.00元，增长0.00%；对附属单位补助支出增加0.00元，增长0.00%。主要原因是原因是2024年我园付华宁县宁州幼儿园新建项目资金15,050,000.00元。</w:t>
      </w:r>
    </w:p>
    <w:p w14:paraId="5A04390B">
      <w:pPr>
        <w:spacing w:line="600" w:lineRule="exact"/>
        <w:ind w:firstLine="600" w:firstLineChars="200"/>
        <w:outlineLvl w:val="1"/>
        <w:rPr>
          <w:rFonts w:hint="eastAsia" w:ascii="楷体" w:hAnsi="楷体" w:eastAsia="楷体" w:cs="楷体"/>
          <w:sz w:val="30"/>
          <w:szCs w:val="30"/>
          <w:highlight w:val="none"/>
          <w:lang w:val="en-US" w:eastAsia="zh-CN"/>
        </w:rPr>
      </w:pPr>
      <w:r>
        <w:rPr>
          <w:rFonts w:hint="eastAsia" w:ascii="楷体" w:hAnsi="楷体" w:eastAsia="楷体" w:cs="楷体"/>
          <w:sz w:val="30"/>
          <w:szCs w:val="30"/>
          <w:highlight w:val="none"/>
          <w:lang w:val="en-US" w:eastAsia="zh-CN"/>
        </w:rPr>
        <w:t>（一）基本支出情况</w:t>
      </w:r>
    </w:p>
    <w:p w14:paraId="768E584E">
      <w:pPr>
        <w:pStyle w:val="2"/>
        <w:adjustRightInd w:val="0"/>
        <w:snapToGrid w:val="0"/>
        <w:spacing w:line="600" w:lineRule="exact"/>
        <w:ind w:firstLine="630" w:firstLineChars="21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lang w:val="zh-CN" w:eastAsia="zh-CN"/>
        </w:rPr>
        <w:t>年度用于保障华宁县幼儿园机构正常运转的日常支出11</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815</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393.97元。其中：基本工资、津贴补贴等人员经费支出11</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744</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740.47元，占基本支出的99.40％；办公费、印刷费、水电费、办公设备购置等公用经费70</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653.50元，占基本支出的0.60％。</w:t>
      </w:r>
    </w:p>
    <w:p w14:paraId="51ACD6F2">
      <w:pPr>
        <w:spacing w:line="600" w:lineRule="exact"/>
        <w:ind w:firstLine="600" w:firstLineChars="200"/>
        <w:outlineLvl w:val="1"/>
        <w:rPr>
          <w:rFonts w:hint="eastAsia" w:ascii="楷体" w:hAnsi="楷体" w:eastAsia="楷体" w:cs="楷体"/>
          <w:sz w:val="30"/>
          <w:szCs w:val="30"/>
          <w:highlight w:val="none"/>
          <w:lang w:val="en-US" w:eastAsia="zh-CN"/>
        </w:rPr>
      </w:pPr>
      <w:r>
        <w:rPr>
          <w:rFonts w:hint="eastAsia" w:ascii="楷体" w:hAnsi="楷体" w:eastAsia="楷体" w:cs="楷体"/>
          <w:sz w:val="30"/>
          <w:szCs w:val="30"/>
          <w:highlight w:val="none"/>
          <w:lang w:val="en-US" w:eastAsia="zh-CN"/>
        </w:rPr>
        <w:t>（二）项目支出情况</w:t>
      </w:r>
    </w:p>
    <w:p w14:paraId="6D85290A">
      <w:pPr>
        <w:pStyle w:val="2"/>
        <w:adjustRightInd w:val="0"/>
        <w:snapToGrid w:val="0"/>
        <w:spacing w:line="600" w:lineRule="exact"/>
        <w:ind w:firstLine="630" w:firstLineChars="21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2024年度用于保障</w:t>
      </w:r>
      <w:r>
        <w:rPr>
          <w:rFonts w:hint="eastAsia" w:ascii="仿宋" w:hAnsi="仿宋" w:eastAsia="仿宋" w:cs="仿宋"/>
          <w:sz w:val="30"/>
          <w:szCs w:val="30"/>
          <w:highlight w:val="none"/>
          <w:lang w:val="zh-CN" w:eastAsia="zh-CN"/>
        </w:rPr>
        <w:t>华宁县幼儿园</w:t>
      </w:r>
      <w:r>
        <w:rPr>
          <w:rFonts w:hint="eastAsia" w:ascii="仿宋" w:hAnsi="仿宋" w:eastAsia="仿宋" w:cs="仿宋"/>
          <w:sz w:val="30"/>
          <w:szCs w:val="30"/>
          <w:highlight w:val="none"/>
          <w:lang w:val="en-US" w:eastAsia="zh-CN"/>
        </w:rPr>
        <w:t>为完成特定的行政工作任务或事业发展目标，用于专项业务工作的经费支出</w:t>
      </w:r>
      <w:r>
        <w:rPr>
          <w:rFonts w:hint="eastAsia" w:ascii="仿宋" w:hAnsi="仿宋" w:eastAsia="仿宋" w:cs="仿宋"/>
          <w:sz w:val="30"/>
          <w:szCs w:val="30"/>
          <w:highlight w:val="none"/>
          <w:lang w:val="zh-CN" w:eastAsia="zh-CN"/>
        </w:rPr>
        <w:t>17</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091</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875.92</w:t>
      </w:r>
      <w:r>
        <w:rPr>
          <w:rFonts w:hint="eastAsia" w:ascii="仿宋" w:hAnsi="仿宋" w:eastAsia="仿宋" w:cs="仿宋"/>
          <w:sz w:val="30"/>
          <w:szCs w:val="30"/>
          <w:highlight w:val="none"/>
          <w:lang w:val="en-US" w:eastAsia="zh-CN"/>
        </w:rPr>
        <w:t>元。其中：基本建设类项目支出</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元。学前教育支出16,382,277.92元，占项目支出的95.85%，主要用于华宁县幼儿园2024年日常公用经费支出及华宁县宁州幼儿园新建项目资金。</w:t>
      </w:r>
    </w:p>
    <w:p w14:paraId="768017E3">
      <w:pPr>
        <w:pStyle w:val="2"/>
        <w:adjustRightInd w:val="0"/>
        <w:snapToGrid w:val="0"/>
        <w:spacing w:line="600" w:lineRule="exact"/>
        <w:ind w:firstLine="630" w:firstLineChars="21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教育附加安排的支出709,598.00元，占项目支出的4.15%，主要用于华宁县幼儿园2024年度租金支付。</w:t>
      </w:r>
    </w:p>
    <w:p w14:paraId="2DB063AA">
      <w:pPr>
        <w:spacing w:line="600" w:lineRule="exact"/>
        <w:ind w:firstLine="600" w:firstLineChars="200"/>
        <w:outlineLvl w:val="1"/>
        <w:rPr>
          <w:rFonts w:hint="eastAsia" w:ascii="黑体" w:hAnsi="黑体" w:eastAsia="黑体"/>
          <w:sz w:val="30"/>
          <w:szCs w:val="30"/>
          <w:highlight w:val="none"/>
          <w:lang w:val="en-US" w:eastAsia="zh-CN"/>
        </w:rPr>
      </w:pPr>
      <w:r>
        <w:rPr>
          <w:rFonts w:hint="eastAsia" w:ascii="黑体" w:hAnsi="黑体" w:eastAsia="黑体"/>
          <w:sz w:val="30"/>
          <w:szCs w:val="30"/>
          <w:highlight w:val="none"/>
          <w:lang w:val="en-US" w:eastAsia="zh-CN"/>
        </w:rPr>
        <w:t>三、一般公共预算财政拨款支出决算情况说明</w:t>
      </w:r>
    </w:p>
    <w:p w14:paraId="7639AE0C">
      <w:pPr>
        <w:spacing w:line="600" w:lineRule="exact"/>
        <w:ind w:firstLine="600" w:firstLineChars="200"/>
        <w:outlineLvl w:val="1"/>
        <w:rPr>
          <w:rFonts w:hint="eastAsia" w:ascii="楷体" w:hAnsi="楷体" w:eastAsia="楷体" w:cs="楷体"/>
          <w:sz w:val="30"/>
          <w:szCs w:val="30"/>
          <w:highlight w:val="none"/>
          <w:lang w:val="en-US" w:eastAsia="zh-CN"/>
        </w:rPr>
      </w:pPr>
      <w:r>
        <w:rPr>
          <w:rFonts w:hint="eastAsia" w:ascii="楷体" w:hAnsi="楷体" w:eastAsia="楷体" w:cs="楷体"/>
          <w:sz w:val="30"/>
          <w:szCs w:val="30"/>
          <w:highlight w:val="none"/>
          <w:lang w:val="en-US" w:eastAsia="zh-CN"/>
        </w:rPr>
        <w:t>（一）一般公共预算财政拨款支出决算总体情况</w:t>
      </w:r>
    </w:p>
    <w:p w14:paraId="56215334">
      <w:pPr>
        <w:pStyle w:val="2"/>
        <w:adjustRightInd w:val="0"/>
        <w:snapToGrid w:val="0"/>
        <w:spacing w:line="600" w:lineRule="exact"/>
        <w:ind w:firstLine="630" w:firstLineChars="21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zh-CN" w:eastAsia="zh-CN"/>
        </w:rPr>
        <w:t>华宁县幼儿园</w:t>
      </w:r>
      <w:r>
        <w:rPr>
          <w:rFonts w:hint="eastAsia" w:ascii="仿宋" w:hAnsi="仿宋" w:eastAsia="仿宋" w:cs="仿宋"/>
          <w:sz w:val="30"/>
          <w:szCs w:val="30"/>
          <w:highlight w:val="none"/>
          <w:lang w:val="en-US" w:eastAsia="zh-CN"/>
        </w:rPr>
        <w:t>2024年度一般公共预算财政拨款支出</w:t>
      </w:r>
      <w:r>
        <w:rPr>
          <w:rFonts w:hint="eastAsia" w:ascii="仿宋" w:hAnsi="仿宋" w:eastAsia="仿宋" w:cs="仿宋"/>
          <w:sz w:val="30"/>
          <w:szCs w:val="30"/>
          <w:highlight w:val="none"/>
          <w:lang w:val="zh-CN" w:eastAsia="zh-CN"/>
        </w:rPr>
        <w:t>28</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879</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276.39</w:t>
      </w:r>
      <w:r>
        <w:rPr>
          <w:rFonts w:hint="eastAsia" w:ascii="仿宋" w:hAnsi="仿宋" w:eastAsia="仿宋" w:cs="仿宋"/>
          <w:sz w:val="30"/>
          <w:szCs w:val="30"/>
          <w:highlight w:val="none"/>
          <w:lang w:val="en-US" w:eastAsia="zh-CN"/>
        </w:rPr>
        <w:t>元,占本年支出合计的</w:t>
      </w:r>
      <w:r>
        <w:rPr>
          <w:rFonts w:hint="eastAsia" w:ascii="仿宋" w:hAnsi="仿宋" w:eastAsia="仿宋" w:cs="仿宋"/>
          <w:sz w:val="30"/>
          <w:szCs w:val="30"/>
          <w:highlight w:val="none"/>
          <w:lang w:val="zh-CN" w:eastAsia="zh-CN"/>
        </w:rPr>
        <w:t>99.90</w:t>
      </w:r>
      <w:r>
        <w:rPr>
          <w:rFonts w:hint="eastAsia" w:ascii="仿宋" w:hAnsi="仿宋" w:eastAsia="仿宋" w:cs="仿宋"/>
          <w:sz w:val="30"/>
          <w:szCs w:val="30"/>
          <w:highlight w:val="none"/>
          <w:lang w:val="en-US" w:eastAsia="zh-CN"/>
        </w:rPr>
        <w:t>%。与上年相比增加</w:t>
      </w:r>
      <w:r>
        <w:rPr>
          <w:rFonts w:hint="eastAsia" w:ascii="仿宋" w:hAnsi="仿宋" w:eastAsia="仿宋" w:cs="仿宋"/>
          <w:sz w:val="30"/>
          <w:szCs w:val="30"/>
          <w:highlight w:val="none"/>
          <w:lang w:val="zh-CN" w:eastAsia="zh-CN"/>
        </w:rPr>
        <w:t>14</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338</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015.69</w:t>
      </w:r>
      <w:r>
        <w:rPr>
          <w:rFonts w:hint="eastAsia" w:ascii="仿宋" w:hAnsi="仿宋" w:eastAsia="仿宋" w:cs="仿宋"/>
          <w:sz w:val="30"/>
          <w:szCs w:val="30"/>
          <w:highlight w:val="none"/>
          <w:lang w:val="en-US" w:eastAsia="zh-CN"/>
        </w:rPr>
        <w:t>元，增长</w:t>
      </w:r>
      <w:r>
        <w:rPr>
          <w:rFonts w:hint="eastAsia" w:ascii="仿宋" w:hAnsi="仿宋" w:eastAsia="仿宋" w:cs="仿宋"/>
          <w:sz w:val="30"/>
          <w:szCs w:val="30"/>
          <w:highlight w:val="none"/>
          <w:lang w:val="zh-CN" w:eastAsia="zh-CN"/>
        </w:rPr>
        <w:t>98.60</w:t>
      </w:r>
      <w:r>
        <w:rPr>
          <w:rFonts w:hint="eastAsia" w:ascii="仿宋" w:hAnsi="仿宋" w:eastAsia="仿宋" w:cs="仿宋"/>
          <w:sz w:val="30"/>
          <w:szCs w:val="30"/>
          <w:highlight w:val="none"/>
          <w:lang w:val="en-US" w:eastAsia="zh-CN"/>
        </w:rPr>
        <w:t>%,完成年初预算的</w:t>
      </w:r>
      <w:r>
        <w:rPr>
          <w:rFonts w:hint="eastAsia" w:ascii="仿宋" w:hAnsi="仿宋" w:eastAsia="仿宋" w:cs="仿宋"/>
          <w:sz w:val="30"/>
          <w:szCs w:val="30"/>
          <w:highlight w:val="none"/>
          <w:lang w:val="zh-CN" w:eastAsia="zh-CN"/>
        </w:rPr>
        <w:t>231.08</w:t>
      </w:r>
      <w:r>
        <w:rPr>
          <w:rFonts w:hint="eastAsia" w:ascii="仿宋" w:hAnsi="仿宋" w:eastAsia="仿宋" w:cs="仿宋"/>
          <w:sz w:val="30"/>
          <w:szCs w:val="30"/>
          <w:highlight w:val="none"/>
          <w:lang w:val="en-US" w:eastAsia="zh-CN"/>
        </w:rPr>
        <w:t>%。</w:t>
      </w:r>
    </w:p>
    <w:p w14:paraId="059F7A74">
      <w:pPr>
        <w:spacing w:line="600" w:lineRule="exact"/>
        <w:ind w:firstLine="600" w:firstLineChars="200"/>
        <w:outlineLvl w:val="1"/>
        <w:rPr>
          <w:rFonts w:hint="eastAsia" w:ascii="楷体" w:hAnsi="楷体" w:eastAsia="楷体"/>
          <w:sz w:val="30"/>
          <w:szCs w:val="30"/>
          <w:highlight w:val="none"/>
        </w:rPr>
      </w:pPr>
      <w:r>
        <w:rPr>
          <w:rFonts w:hint="eastAsia" w:ascii="楷体" w:hAnsi="楷体" w:eastAsia="楷体" w:cs="楷体"/>
          <w:sz w:val="30"/>
          <w:szCs w:val="30"/>
          <w:highlight w:val="none"/>
          <w:lang w:val="en-US" w:eastAsia="zh-CN"/>
        </w:rPr>
        <w:t>（二）一般公共预算财政拨款支出决算分功能分类科目情况</w:t>
      </w:r>
      <w:r>
        <w:rPr>
          <w:rFonts w:hint="eastAsia" w:ascii="楷体" w:hAnsi="楷体" w:eastAsia="楷体" w:cs="楷体"/>
          <w:sz w:val="30"/>
          <w:szCs w:val="30"/>
          <w:highlight w:val="none"/>
          <w:lang w:val="en-US" w:eastAsia="zh-CN"/>
        </w:rPr>
        <w:tab/>
      </w:r>
    </w:p>
    <w:p w14:paraId="42BC443D">
      <w:pPr>
        <w:pStyle w:val="2"/>
        <w:adjustRightInd w:val="0"/>
        <w:snapToGrid w:val="0"/>
        <w:spacing w:line="600" w:lineRule="exact"/>
        <w:ind w:firstLine="630" w:firstLineChars="21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1.一般公共服务（类）支出0.00元，占一般公共预算财政拨款总支出的0.00%,年初无此项预算。</w:t>
      </w:r>
    </w:p>
    <w:p w14:paraId="2974AAE1">
      <w:pPr>
        <w:pStyle w:val="2"/>
        <w:adjustRightInd w:val="0"/>
        <w:snapToGrid w:val="0"/>
        <w:spacing w:line="600" w:lineRule="exact"/>
        <w:ind w:firstLine="630" w:firstLineChars="21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2.外交（类）支出0.00元，占一般公共预算财政拨款总支出的0.00%,年初无此项预算。</w:t>
      </w:r>
    </w:p>
    <w:p w14:paraId="0BC359EE">
      <w:pPr>
        <w:pStyle w:val="2"/>
        <w:adjustRightInd w:val="0"/>
        <w:snapToGrid w:val="0"/>
        <w:spacing w:line="600" w:lineRule="exact"/>
        <w:ind w:firstLine="630" w:firstLineChars="21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3.国防（类）支出0.00元，占一般公共预算财政拨款总支出的0.00%,年初无此项预算。</w:t>
      </w:r>
    </w:p>
    <w:p w14:paraId="46DF4B5E">
      <w:pPr>
        <w:pStyle w:val="2"/>
        <w:adjustRightInd w:val="0"/>
        <w:snapToGrid w:val="0"/>
        <w:spacing w:line="600" w:lineRule="exact"/>
        <w:ind w:firstLine="630" w:firstLineChars="21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4.公共安全（类）支出0.00元，占一般公共预算财政拨款总支出的0.00%,年初无此项预算。</w:t>
      </w:r>
    </w:p>
    <w:p w14:paraId="1EA5BAAA">
      <w:pPr>
        <w:pStyle w:val="2"/>
        <w:adjustRightInd w:val="0"/>
        <w:snapToGrid w:val="0"/>
        <w:spacing w:line="600" w:lineRule="exact"/>
        <w:ind w:firstLine="630" w:firstLineChars="21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5.教育（类）支出25,775,641.60元，占一般公共预算财政拨款总支出的89.25%</w:t>
      </w:r>
      <w:r>
        <w:rPr>
          <w:rFonts w:hint="eastAsia" w:ascii="仿宋" w:hAnsi="仿宋" w:eastAsia="仿宋" w:cs="仿宋"/>
          <w:sz w:val="30"/>
          <w:szCs w:val="30"/>
          <w:highlight w:val="none"/>
          <w:lang w:val="zh-CN" w:eastAsia="zh-CN"/>
        </w:rPr>
        <w:t>,完成年初预算的292.14</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。主要用于</w:t>
      </w:r>
      <w:r>
        <w:rPr>
          <w:rFonts w:hint="eastAsia" w:ascii="仿宋" w:hAnsi="仿宋" w:eastAsia="仿宋" w:cs="仿宋"/>
          <w:sz w:val="30"/>
          <w:szCs w:val="30"/>
          <w:highlight w:val="none"/>
          <w:lang w:val="en-US" w:eastAsia="zh-CN"/>
        </w:rPr>
        <w:t>主要用于2024年人员经费的保障以及单位运转办公经费,其中重要新增支出为付华宁县宁州幼儿园新建项目资金15,050,000.00元。；教育附加安排的支出709,598.00元，主要用于华宁县幼儿园2024年度租金支付。</w:t>
      </w:r>
      <w:r>
        <w:rPr>
          <w:rFonts w:hint="eastAsia" w:ascii="仿宋" w:hAnsi="仿宋" w:eastAsia="仿宋" w:cs="仿宋"/>
          <w:sz w:val="30"/>
          <w:szCs w:val="30"/>
          <w:highlight w:val="none"/>
          <w:lang w:val="zh-CN" w:eastAsia="zh-CN"/>
        </w:rPr>
        <w:t>造成预决算差异的主要原因是</w:t>
      </w:r>
      <w:r>
        <w:rPr>
          <w:rFonts w:hint="eastAsia" w:ascii="仿宋" w:hAnsi="仿宋" w:eastAsia="仿宋" w:cs="仿宋"/>
          <w:sz w:val="30"/>
          <w:szCs w:val="30"/>
          <w:highlight w:val="none"/>
          <w:lang w:val="en-US" w:eastAsia="zh-CN"/>
        </w:rPr>
        <w:t>付华宁县宁州幼儿园新建项目资金15,050,000.00元项目年初未纳入预算，单位运转的日常公经费支出为我单位保育费返还，年初未纳入预算。</w:t>
      </w:r>
    </w:p>
    <w:p w14:paraId="65BEF283">
      <w:pPr>
        <w:pStyle w:val="2"/>
        <w:adjustRightInd w:val="0"/>
        <w:snapToGrid w:val="0"/>
        <w:spacing w:line="600" w:lineRule="exact"/>
        <w:ind w:firstLine="630" w:firstLineChars="21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6.科学技术（类）支出0.00元，占一般公共预算财政拨款总支出的0.00%</w:t>
      </w:r>
      <w:r>
        <w:rPr>
          <w:rFonts w:hint="eastAsia" w:ascii="仿宋" w:hAnsi="仿宋" w:eastAsia="仿宋" w:cs="仿宋"/>
          <w:sz w:val="30"/>
          <w:szCs w:val="30"/>
          <w:highlight w:val="none"/>
          <w:lang w:val="zh-CN" w:eastAsia="zh-CN"/>
        </w:rPr>
        <w:t>,年初无此项预算。</w:t>
      </w:r>
    </w:p>
    <w:p w14:paraId="6EDF233A">
      <w:pPr>
        <w:pStyle w:val="2"/>
        <w:adjustRightInd w:val="0"/>
        <w:snapToGrid w:val="0"/>
        <w:spacing w:line="600" w:lineRule="exact"/>
        <w:ind w:firstLine="630" w:firstLineChars="21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7.文化旅游体育与传媒（类）支出0.00元，占一般公共预算财政拨款总支出的0.00%</w:t>
      </w:r>
      <w:r>
        <w:rPr>
          <w:rFonts w:hint="eastAsia" w:ascii="仿宋" w:hAnsi="仿宋" w:eastAsia="仿宋" w:cs="仿宋"/>
          <w:sz w:val="30"/>
          <w:szCs w:val="30"/>
          <w:highlight w:val="none"/>
          <w:lang w:val="zh-CN" w:eastAsia="zh-CN"/>
        </w:rPr>
        <w:t>,年初无此项预算。</w:t>
      </w:r>
    </w:p>
    <w:p w14:paraId="4A121B6D">
      <w:pPr>
        <w:pStyle w:val="2"/>
        <w:adjustRightInd w:val="0"/>
        <w:snapToGrid w:val="0"/>
        <w:spacing w:line="600" w:lineRule="exact"/>
        <w:ind w:firstLine="630" w:firstLineChars="21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8.社会保障和就业（类）支出1,330,998.43元，占一般公共预算财政拨款总支出的4.61%</w:t>
      </w:r>
      <w:r>
        <w:rPr>
          <w:rFonts w:hint="eastAsia" w:ascii="仿宋" w:hAnsi="仿宋" w:eastAsia="仿宋" w:cs="仿宋"/>
          <w:sz w:val="30"/>
          <w:szCs w:val="30"/>
          <w:highlight w:val="none"/>
          <w:lang w:val="zh-CN" w:eastAsia="zh-CN"/>
        </w:rPr>
        <w:t>,完成年初预算的95.69</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。主要</w:t>
      </w:r>
      <w:r>
        <w:rPr>
          <w:rFonts w:hint="default" w:ascii="仿宋" w:hAnsi="仿宋" w:eastAsia="仿宋" w:cs="仿宋"/>
          <w:sz w:val="30"/>
          <w:szCs w:val="30"/>
          <w:highlight w:val="none"/>
          <w:lang w:val="en-US" w:eastAsia="zh-CN"/>
        </w:rPr>
        <w:t>用于机关事业单位基本养老保险缴费支出</w:t>
      </w:r>
      <w:r>
        <w:rPr>
          <w:rFonts w:hint="eastAsia" w:ascii="仿宋" w:hAnsi="仿宋" w:eastAsia="仿宋" w:cs="仿宋"/>
          <w:sz w:val="30"/>
          <w:szCs w:val="30"/>
          <w:highlight w:val="none"/>
          <w:lang w:val="en-US" w:eastAsia="zh-CN"/>
        </w:rPr>
        <w:t>1,330,998.43元；</w:t>
      </w:r>
      <w:r>
        <w:rPr>
          <w:rFonts w:hint="eastAsia" w:ascii="仿宋" w:hAnsi="仿宋" w:eastAsia="仿宋" w:cs="仿宋"/>
          <w:sz w:val="30"/>
          <w:szCs w:val="30"/>
          <w:highlight w:val="none"/>
          <w:lang w:val="zh-CN" w:eastAsia="zh-CN"/>
        </w:rPr>
        <w:t>造成预决算差异的主要原因是</w:t>
      </w:r>
      <w:r>
        <w:rPr>
          <w:rFonts w:hint="eastAsia" w:ascii="仿宋" w:hAnsi="仿宋" w:eastAsia="仿宋" w:cs="仿宋"/>
          <w:sz w:val="30"/>
          <w:szCs w:val="30"/>
          <w:highlight w:val="none"/>
          <w:lang w:val="en-US" w:eastAsia="zh-CN"/>
        </w:rPr>
        <w:t>2024年11月-12月单位基本养老保险未缴费。</w:t>
      </w:r>
    </w:p>
    <w:p w14:paraId="7770DADE">
      <w:pPr>
        <w:pStyle w:val="2"/>
        <w:adjustRightInd w:val="0"/>
        <w:snapToGrid w:val="0"/>
        <w:spacing w:line="600" w:lineRule="exact"/>
        <w:ind w:firstLine="630" w:firstLineChars="21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9.卫生健康（类）支出</w:t>
      </w:r>
      <w:r>
        <w:rPr>
          <w:rFonts w:hint="eastAsia" w:ascii="仿宋" w:hAnsi="仿宋" w:eastAsia="仿宋" w:cs="仿宋"/>
          <w:sz w:val="30"/>
          <w:szCs w:val="30"/>
          <w:highlight w:val="none"/>
          <w:lang w:val="zh-CN" w:eastAsia="zh-CN"/>
        </w:rPr>
        <w:t>1043972.36元，占一般公共预算财政拨款总支出的3.61%,完成年初预算的98.74</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。主要用于事业单位医疗支出648353.06元，公务员医疗补助335140.76元，其他行政事业单位医疗支出60478.54元；造成预决算差异的主要原因是2024年11月-12月</w:t>
      </w:r>
      <w:r>
        <w:rPr>
          <w:rFonts w:hint="eastAsia" w:ascii="仿宋" w:hAnsi="仿宋" w:eastAsia="仿宋" w:cs="仿宋"/>
          <w:sz w:val="30"/>
          <w:szCs w:val="30"/>
          <w:highlight w:val="none"/>
          <w:lang w:val="en-US" w:eastAsia="zh-CN"/>
        </w:rPr>
        <w:t>单位医疗、公务员医疗补助未缴费。</w:t>
      </w:r>
    </w:p>
    <w:p w14:paraId="5726201D">
      <w:pPr>
        <w:pStyle w:val="2"/>
        <w:adjustRightInd w:val="0"/>
        <w:snapToGrid w:val="0"/>
        <w:spacing w:line="600" w:lineRule="exact"/>
        <w:ind w:firstLine="630" w:firstLineChars="21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10.节能环保（类）支出</w:t>
      </w:r>
      <w:r>
        <w:rPr>
          <w:rFonts w:hint="eastAsia" w:ascii="仿宋" w:hAnsi="仿宋" w:eastAsia="仿宋" w:cs="仿宋"/>
          <w:sz w:val="30"/>
          <w:szCs w:val="30"/>
          <w:highlight w:val="none"/>
          <w:lang w:val="zh-CN" w:eastAsia="zh-CN"/>
        </w:rPr>
        <w:t>0.00元，占一般公共预算财政拨款总支出的0.00%,年初无此项预算。</w:t>
      </w:r>
    </w:p>
    <w:p w14:paraId="78DFFFE1">
      <w:pPr>
        <w:pStyle w:val="2"/>
        <w:adjustRightInd w:val="0"/>
        <w:snapToGrid w:val="0"/>
        <w:spacing w:line="600" w:lineRule="exact"/>
        <w:ind w:firstLine="630" w:firstLineChars="21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11.城乡社区（类）支出</w:t>
      </w:r>
      <w:r>
        <w:rPr>
          <w:rFonts w:hint="eastAsia" w:ascii="仿宋" w:hAnsi="仿宋" w:eastAsia="仿宋" w:cs="仿宋"/>
          <w:sz w:val="30"/>
          <w:szCs w:val="30"/>
          <w:highlight w:val="none"/>
          <w:lang w:val="zh-CN" w:eastAsia="zh-CN"/>
        </w:rPr>
        <w:t>0.00元，占一般公共预算财政拨款总支出的0.00%,年初无此项预算。</w:t>
      </w:r>
    </w:p>
    <w:p w14:paraId="540BAC79">
      <w:pPr>
        <w:pStyle w:val="2"/>
        <w:adjustRightInd w:val="0"/>
        <w:snapToGrid w:val="0"/>
        <w:spacing w:line="600" w:lineRule="exact"/>
        <w:ind w:firstLine="630" w:firstLineChars="21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12.农林水（类）支出</w:t>
      </w:r>
      <w:r>
        <w:rPr>
          <w:rFonts w:hint="eastAsia" w:ascii="仿宋" w:hAnsi="仿宋" w:eastAsia="仿宋" w:cs="仿宋"/>
          <w:sz w:val="30"/>
          <w:szCs w:val="30"/>
          <w:highlight w:val="none"/>
          <w:lang w:val="zh-CN" w:eastAsia="zh-CN"/>
        </w:rPr>
        <w:t>0.00元，占一般公共预算财政拨款总支出的0.00%,年初无此项预算。</w:t>
      </w:r>
    </w:p>
    <w:p w14:paraId="1ED2C21A">
      <w:pPr>
        <w:pStyle w:val="2"/>
        <w:adjustRightInd w:val="0"/>
        <w:snapToGrid w:val="0"/>
        <w:spacing w:line="600" w:lineRule="exact"/>
        <w:ind w:firstLine="630" w:firstLineChars="21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13.交通运输（类）支出</w:t>
      </w:r>
      <w:r>
        <w:rPr>
          <w:rFonts w:hint="eastAsia" w:ascii="仿宋" w:hAnsi="仿宋" w:eastAsia="仿宋" w:cs="仿宋"/>
          <w:sz w:val="30"/>
          <w:szCs w:val="30"/>
          <w:highlight w:val="none"/>
          <w:lang w:val="zh-CN" w:eastAsia="zh-CN"/>
        </w:rPr>
        <w:t>0.00元，占一般公共预算财政拨款总支出的0.00%,年初无此项预算。</w:t>
      </w:r>
    </w:p>
    <w:p w14:paraId="7BFC3A9B">
      <w:pPr>
        <w:pStyle w:val="2"/>
        <w:adjustRightInd w:val="0"/>
        <w:snapToGrid w:val="0"/>
        <w:spacing w:line="600" w:lineRule="exact"/>
        <w:ind w:firstLine="630" w:firstLineChars="21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14.资源勘探工业信息等（类）支出</w:t>
      </w:r>
      <w:r>
        <w:rPr>
          <w:rFonts w:hint="eastAsia" w:ascii="仿宋" w:hAnsi="仿宋" w:eastAsia="仿宋" w:cs="仿宋"/>
          <w:sz w:val="30"/>
          <w:szCs w:val="30"/>
          <w:highlight w:val="none"/>
          <w:lang w:val="zh-CN" w:eastAsia="zh-CN"/>
        </w:rPr>
        <w:t>0.00元，占一般公共预算财政拨款总支出的0.00%,年初无此项预算。</w:t>
      </w:r>
    </w:p>
    <w:p w14:paraId="356F20A3">
      <w:pPr>
        <w:pStyle w:val="2"/>
        <w:adjustRightInd w:val="0"/>
        <w:snapToGrid w:val="0"/>
        <w:spacing w:line="600" w:lineRule="exact"/>
        <w:ind w:firstLine="630" w:firstLineChars="21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15.商业服务业等（类）支出</w:t>
      </w:r>
      <w:r>
        <w:rPr>
          <w:rFonts w:hint="eastAsia" w:ascii="仿宋" w:hAnsi="仿宋" w:eastAsia="仿宋" w:cs="仿宋"/>
          <w:sz w:val="30"/>
          <w:szCs w:val="30"/>
          <w:highlight w:val="none"/>
          <w:lang w:val="zh-CN" w:eastAsia="zh-CN"/>
        </w:rPr>
        <w:t>0.00元，占一般公共预算财政拨款总支出的0.00%,年初无此项预算。</w:t>
      </w:r>
    </w:p>
    <w:p w14:paraId="470A84E8">
      <w:pPr>
        <w:pStyle w:val="2"/>
        <w:adjustRightInd w:val="0"/>
        <w:snapToGrid w:val="0"/>
        <w:spacing w:line="600" w:lineRule="exact"/>
        <w:ind w:firstLine="630" w:firstLineChars="21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16.金融（类）支出</w:t>
      </w:r>
      <w:r>
        <w:rPr>
          <w:rFonts w:hint="eastAsia" w:ascii="仿宋" w:hAnsi="仿宋" w:eastAsia="仿宋" w:cs="仿宋"/>
          <w:sz w:val="30"/>
          <w:szCs w:val="30"/>
          <w:highlight w:val="none"/>
          <w:lang w:val="zh-CN" w:eastAsia="zh-CN"/>
        </w:rPr>
        <w:t>0.00元，占一般公共预算财政拨款总支出的0.00%,年初无此项预算。</w:t>
      </w:r>
    </w:p>
    <w:p w14:paraId="2FDD729B">
      <w:pPr>
        <w:pStyle w:val="2"/>
        <w:adjustRightInd w:val="0"/>
        <w:snapToGrid w:val="0"/>
        <w:spacing w:line="600" w:lineRule="exact"/>
        <w:ind w:firstLine="630" w:firstLineChars="21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17.援助其他地区（类）支出</w:t>
      </w:r>
      <w:r>
        <w:rPr>
          <w:rFonts w:hint="eastAsia" w:ascii="仿宋" w:hAnsi="仿宋" w:eastAsia="仿宋" w:cs="仿宋"/>
          <w:sz w:val="30"/>
          <w:szCs w:val="30"/>
          <w:highlight w:val="none"/>
          <w:lang w:val="zh-CN" w:eastAsia="zh-CN"/>
        </w:rPr>
        <w:t>0.00元，占一般公共预算财政拨款总支出的0.00%,年初无此项预算。</w:t>
      </w:r>
    </w:p>
    <w:p w14:paraId="3400A0A3">
      <w:pPr>
        <w:pStyle w:val="2"/>
        <w:adjustRightInd w:val="0"/>
        <w:snapToGrid w:val="0"/>
        <w:spacing w:line="600" w:lineRule="exact"/>
        <w:ind w:firstLine="630" w:firstLineChars="21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18.自然资源海洋气象等（类）支出</w:t>
      </w:r>
      <w:r>
        <w:rPr>
          <w:rFonts w:hint="eastAsia" w:ascii="仿宋" w:hAnsi="仿宋" w:eastAsia="仿宋" w:cs="仿宋"/>
          <w:sz w:val="30"/>
          <w:szCs w:val="30"/>
          <w:highlight w:val="none"/>
          <w:lang w:val="zh-CN" w:eastAsia="zh-CN"/>
        </w:rPr>
        <w:t>0.00元，占一般公共预算财政拨款总支出的0.00%,年初无此项预算。</w:t>
      </w:r>
    </w:p>
    <w:p w14:paraId="7EA1A3BE">
      <w:pPr>
        <w:pStyle w:val="2"/>
        <w:adjustRightInd w:val="0"/>
        <w:snapToGrid w:val="0"/>
        <w:spacing w:line="600" w:lineRule="exact"/>
        <w:ind w:firstLine="630" w:firstLineChars="21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19.住房保障（类）支出</w:t>
      </w:r>
      <w:r>
        <w:rPr>
          <w:rFonts w:hint="eastAsia" w:ascii="仿宋" w:hAnsi="仿宋" w:eastAsia="仿宋" w:cs="仿宋"/>
          <w:sz w:val="30"/>
          <w:szCs w:val="30"/>
          <w:highlight w:val="none"/>
          <w:lang w:val="zh-CN" w:eastAsia="zh-CN"/>
        </w:rPr>
        <w:t>728</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664.00元，占一般公共预算财政拨款总支出的2.52%,完成年初预算的59.44</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。主要用于</w:t>
      </w:r>
      <w:r>
        <w:rPr>
          <w:rFonts w:hint="eastAsia" w:ascii="仿宋" w:hAnsi="仿宋" w:eastAsia="仿宋" w:cs="仿宋"/>
          <w:sz w:val="30"/>
          <w:szCs w:val="30"/>
          <w:highlight w:val="none"/>
          <w:lang w:val="en-US" w:eastAsia="zh-CN"/>
        </w:rPr>
        <w:t>住房公积金支出</w:t>
      </w:r>
      <w:r>
        <w:rPr>
          <w:rFonts w:hint="eastAsia" w:ascii="仿宋" w:hAnsi="仿宋" w:eastAsia="仿宋" w:cs="仿宋"/>
          <w:sz w:val="30"/>
          <w:szCs w:val="30"/>
          <w:highlight w:val="none"/>
          <w:lang w:val="zh-CN" w:eastAsia="zh-CN"/>
        </w:rPr>
        <w:t>728</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664.00；造成预决算差异的主要原因是</w:t>
      </w:r>
      <w:r>
        <w:rPr>
          <w:rFonts w:hint="eastAsia" w:ascii="仿宋" w:hAnsi="仿宋" w:eastAsia="仿宋" w:cs="仿宋"/>
          <w:sz w:val="30"/>
          <w:szCs w:val="30"/>
          <w:highlight w:val="none"/>
          <w:lang w:val="en-US" w:eastAsia="zh-CN"/>
        </w:rPr>
        <w:t>2024年1-12月住房公积金单位部分未缴存。</w:t>
      </w:r>
    </w:p>
    <w:p w14:paraId="1C0441E5">
      <w:pPr>
        <w:pStyle w:val="2"/>
        <w:adjustRightInd w:val="0"/>
        <w:snapToGrid w:val="0"/>
        <w:spacing w:line="600" w:lineRule="exact"/>
        <w:ind w:firstLine="630" w:firstLineChars="21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20.粮油物资储备（类）支出</w:t>
      </w:r>
      <w:r>
        <w:rPr>
          <w:rFonts w:hint="eastAsia" w:ascii="仿宋" w:hAnsi="仿宋" w:eastAsia="仿宋" w:cs="仿宋"/>
          <w:sz w:val="30"/>
          <w:szCs w:val="30"/>
          <w:highlight w:val="none"/>
          <w:lang w:val="zh-CN" w:eastAsia="zh-CN"/>
        </w:rPr>
        <w:t>0.00元，占一般公共预算财政拨款总支出的0.00%,年初无此项预算。</w:t>
      </w:r>
    </w:p>
    <w:p w14:paraId="48FD36FA">
      <w:pPr>
        <w:pStyle w:val="2"/>
        <w:adjustRightInd w:val="0"/>
        <w:snapToGrid w:val="0"/>
        <w:spacing w:line="600" w:lineRule="exact"/>
        <w:ind w:firstLine="630" w:firstLineChars="21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21.国有资本经营预算（类）支出</w:t>
      </w:r>
      <w:r>
        <w:rPr>
          <w:rFonts w:hint="eastAsia" w:ascii="仿宋" w:hAnsi="仿宋" w:eastAsia="仿宋" w:cs="仿宋"/>
          <w:sz w:val="30"/>
          <w:szCs w:val="30"/>
          <w:highlight w:val="none"/>
          <w:lang w:val="zh-CN" w:eastAsia="zh-CN"/>
        </w:rPr>
        <w:t>0.00元，占一般公共预算财政拨款总支出的0.00%,年初无此项预算。</w:t>
      </w:r>
    </w:p>
    <w:p w14:paraId="17F86AAF">
      <w:pPr>
        <w:pStyle w:val="2"/>
        <w:adjustRightInd w:val="0"/>
        <w:snapToGrid w:val="0"/>
        <w:spacing w:line="600" w:lineRule="exact"/>
        <w:ind w:firstLine="630" w:firstLineChars="21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22.灾害防治及应急管理（类）支出</w:t>
      </w:r>
      <w:r>
        <w:rPr>
          <w:rFonts w:hint="eastAsia" w:ascii="仿宋" w:hAnsi="仿宋" w:eastAsia="仿宋" w:cs="仿宋"/>
          <w:sz w:val="30"/>
          <w:szCs w:val="30"/>
          <w:highlight w:val="none"/>
          <w:lang w:val="zh-CN" w:eastAsia="zh-CN"/>
        </w:rPr>
        <w:t>0.00元，占一般公共预算财政拨款总支出的0.00%,年初无此项预算。</w:t>
      </w:r>
    </w:p>
    <w:p w14:paraId="1C806407">
      <w:pPr>
        <w:pStyle w:val="2"/>
        <w:adjustRightInd w:val="0"/>
        <w:snapToGrid w:val="0"/>
        <w:spacing w:line="600" w:lineRule="exact"/>
        <w:ind w:firstLine="630" w:firstLineChars="21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23.其他（类）支出</w:t>
      </w:r>
      <w:r>
        <w:rPr>
          <w:rFonts w:hint="eastAsia" w:ascii="仿宋" w:hAnsi="仿宋" w:eastAsia="仿宋" w:cs="仿宋"/>
          <w:sz w:val="30"/>
          <w:szCs w:val="30"/>
          <w:highlight w:val="none"/>
          <w:lang w:val="zh-CN" w:eastAsia="zh-CN"/>
        </w:rPr>
        <w:t>0.00元，占一般公共预算财政拨款总支出的0.00%,年初无此项预算。</w:t>
      </w:r>
    </w:p>
    <w:p w14:paraId="6CB88EE5">
      <w:pPr>
        <w:pStyle w:val="2"/>
        <w:adjustRightInd w:val="0"/>
        <w:snapToGrid w:val="0"/>
        <w:spacing w:line="600" w:lineRule="exact"/>
        <w:ind w:firstLine="630" w:firstLineChars="21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24.债务还本（类）支出</w:t>
      </w:r>
      <w:r>
        <w:rPr>
          <w:rFonts w:hint="eastAsia" w:ascii="仿宋" w:hAnsi="仿宋" w:eastAsia="仿宋" w:cs="仿宋"/>
          <w:sz w:val="30"/>
          <w:szCs w:val="30"/>
          <w:highlight w:val="none"/>
          <w:lang w:val="zh-CN" w:eastAsia="zh-CN"/>
        </w:rPr>
        <w:t>0.00元，占一般公共预算财政拨款总支出的0.00%,年初无此项预算。</w:t>
      </w:r>
    </w:p>
    <w:p w14:paraId="67666C6A">
      <w:pPr>
        <w:pStyle w:val="2"/>
        <w:adjustRightInd w:val="0"/>
        <w:snapToGrid w:val="0"/>
        <w:spacing w:line="600" w:lineRule="exact"/>
        <w:ind w:firstLine="630" w:firstLineChars="21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25.债务付息（类）支出</w:t>
      </w:r>
      <w:r>
        <w:rPr>
          <w:rFonts w:hint="eastAsia" w:ascii="仿宋" w:hAnsi="仿宋" w:eastAsia="仿宋" w:cs="仿宋"/>
          <w:sz w:val="30"/>
          <w:szCs w:val="30"/>
          <w:highlight w:val="none"/>
          <w:lang w:val="zh-CN" w:eastAsia="zh-CN"/>
        </w:rPr>
        <w:t>0.00元，占一般公共预算财政拨款总支出的0.00%,年初无此项预算。</w:t>
      </w:r>
    </w:p>
    <w:p w14:paraId="17915383">
      <w:pPr>
        <w:pStyle w:val="2"/>
        <w:adjustRightInd w:val="0"/>
        <w:snapToGrid w:val="0"/>
        <w:spacing w:line="600" w:lineRule="exact"/>
        <w:ind w:firstLine="630" w:firstLineChars="21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26.抗疫特别国债安排（类）支出</w:t>
      </w:r>
      <w:r>
        <w:rPr>
          <w:rFonts w:hint="eastAsia" w:ascii="仿宋" w:hAnsi="仿宋" w:eastAsia="仿宋" w:cs="仿宋"/>
          <w:sz w:val="30"/>
          <w:szCs w:val="30"/>
          <w:highlight w:val="none"/>
          <w:lang w:val="zh-CN" w:eastAsia="zh-CN"/>
        </w:rPr>
        <w:t>0.00元，占一般公共预算财政拨款总支出的0.00%,年初无此项预算。</w:t>
      </w:r>
    </w:p>
    <w:p w14:paraId="1B1A02EC">
      <w:pPr>
        <w:spacing w:line="600" w:lineRule="exact"/>
        <w:ind w:firstLine="600" w:firstLineChars="200"/>
        <w:outlineLvl w:val="1"/>
        <w:rPr>
          <w:rFonts w:hint="eastAsia" w:ascii="黑体" w:hAnsi="黑体" w:eastAsia="黑体"/>
          <w:sz w:val="30"/>
          <w:szCs w:val="30"/>
          <w:highlight w:val="none"/>
          <w:lang w:val="en-US" w:eastAsia="zh-CN"/>
        </w:rPr>
      </w:pPr>
      <w:r>
        <w:rPr>
          <w:rFonts w:hint="eastAsia" w:ascii="黑体" w:hAnsi="黑体" w:eastAsia="黑体"/>
          <w:sz w:val="30"/>
          <w:szCs w:val="30"/>
          <w:highlight w:val="none"/>
          <w:lang w:val="en-US" w:eastAsia="zh-CN"/>
        </w:rPr>
        <w:t>四、财政拨款“三公”经费支出决算情况说明</w:t>
      </w:r>
    </w:p>
    <w:p w14:paraId="044A1B98">
      <w:pPr>
        <w:spacing w:line="600" w:lineRule="exact"/>
        <w:ind w:firstLine="600" w:firstLineChars="200"/>
        <w:outlineLvl w:val="1"/>
        <w:rPr>
          <w:rFonts w:hint="eastAsia" w:ascii="楷体" w:hAnsi="楷体" w:eastAsia="楷体" w:cs="楷体"/>
          <w:sz w:val="30"/>
          <w:szCs w:val="30"/>
          <w:highlight w:val="none"/>
          <w:lang w:val="en-US" w:eastAsia="zh-CN"/>
        </w:rPr>
      </w:pPr>
      <w:r>
        <w:rPr>
          <w:rFonts w:hint="eastAsia" w:ascii="楷体" w:hAnsi="楷体" w:eastAsia="楷体" w:cs="楷体"/>
          <w:sz w:val="30"/>
          <w:szCs w:val="30"/>
          <w:highlight w:val="none"/>
          <w:lang w:val="en-US" w:eastAsia="zh-CN"/>
        </w:rPr>
        <w:t>（一）总体情况</w:t>
      </w:r>
    </w:p>
    <w:p w14:paraId="6E68F70D">
      <w:pPr>
        <w:pStyle w:val="2"/>
        <w:adjustRightInd w:val="0"/>
        <w:snapToGrid w:val="0"/>
        <w:spacing w:line="600" w:lineRule="exact"/>
        <w:ind w:firstLine="630" w:firstLineChars="21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lang w:val="zh-CN" w:eastAsia="zh-CN"/>
        </w:rPr>
        <w:t>年度财政拨款“三公”经费支出决算中，财政拨款“三公”经费支出年初预算为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val="zh-CN" w:eastAsia="zh-CN"/>
        </w:rPr>
        <w:t>元，决算为0.00元。因公出国（境）费支出年初预算为0.00元，决算为0.00元，占财政拨款“三公”经费总支出决算的0.00%；公务用车购置费支出年初预算为0.00元，决算为0.00元，占财政拨款“三公”经费总支出决算的0.00%；公务用车运行维护费支出年初预算为0.00元，决算为0.00元，占财政拨款“三公”经费总支出决算的0.00%</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公务接待费支出年初预算为0.00元，决算为0.00元，占财政拨款“三公”经费总支出决算的0.00%。因公出国（境）费支出决算较上年增</w:t>
      </w:r>
      <w:r>
        <w:rPr>
          <w:rFonts w:hint="eastAsia" w:ascii="仿宋" w:hAnsi="仿宋" w:eastAsia="仿宋" w:cs="仿宋"/>
          <w:sz w:val="30"/>
          <w:szCs w:val="30"/>
          <w:highlight w:val="none"/>
          <w:lang w:val="en-US" w:eastAsia="zh-CN"/>
        </w:rPr>
        <w:t>加</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w:t>
      </w:r>
      <w:r>
        <w:rPr>
          <w:rFonts w:hint="eastAsia" w:ascii="仿宋" w:hAnsi="仿宋" w:eastAsia="仿宋" w:cs="仿宋"/>
          <w:sz w:val="30"/>
          <w:szCs w:val="30"/>
          <w:highlight w:val="none"/>
          <w:lang w:val="zh-CN" w:eastAsia="zh-CN"/>
        </w:rPr>
        <w:t>上年无此项支出；公务用车购置费支出决算较上年增加0.00</w:t>
      </w:r>
      <w:r>
        <w:rPr>
          <w:rFonts w:hint="eastAsia" w:ascii="仿宋" w:hAnsi="仿宋" w:eastAsia="仿宋" w:cs="仿宋"/>
          <w:sz w:val="30"/>
          <w:szCs w:val="30"/>
          <w:highlight w:val="none"/>
          <w:lang w:val="en-US" w:eastAsia="zh-CN"/>
        </w:rPr>
        <w:t>元，</w:t>
      </w:r>
      <w:r>
        <w:rPr>
          <w:rFonts w:hint="eastAsia" w:ascii="仿宋" w:hAnsi="仿宋" w:eastAsia="仿宋" w:cs="仿宋"/>
          <w:sz w:val="30"/>
          <w:szCs w:val="30"/>
          <w:highlight w:val="none"/>
          <w:lang w:val="zh-CN" w:eastAsia="zh-CN"/>
        </w:rPr>
        <w:t>上年无此项支出；公务用车运行维护费支出决算较上年增加0.00</w:t>
      </w:r>
      <w:r>
        <w:rPr>
          <w:rFonts w:hint="eastAsia" w:ascii="仿宋" w:hAnsi="仿宋" w:eastAsia="仿宋" w:cs="仿宋"/>
          <w:sz w:val="30"/>
          <w:szCs w:val="30"/>
          <w:highlight w:val="none"/>
          <w:lang w:val="en-US" w:eastAsia="zh-CN"/>
        </w:rPr>
        <w:t>元，</w:t>
      </w:r>
      <w:r>
        <w:rPr>
          <w:rFonts w:hint="eastAsia" w:ascii="仿宋" w:hAnsi="仿宋" w:eastAsia="仿宋" w:cs="仿宋"/>
          <w:sz w:val="30"/>
          <w:szCs w:val="30"/>
          <w:highlight w:val="none"/>
          <w:lang w:val="zh-CN" w:eastAsia="zh-CN"/>
        </w:rPr>
        <w:t>上年无此项支出；公务接待费支出决算较上年增加0.00</w:t>
      </w:r>
      <w:r>
        <w:rPr>
          <w:rFonts w:hint="eastAsia" w:ascii="仿宋" w:hAnsi="仿宋" w:eastAsia="仿宋" w:cs="仿宋"/>
          <w:sz w:val="30"/>
          <w:szCs w:val="30"/>
          <w:highlight w:val="none"/>
          <w:lang w:val="en-US" w:eastAsia="zh-CN"/>
        </w:rPr>
        <w:t>元，</w:t>
      </w:r>
      <w:r>
        <w:rPr>
          <w:rFonts w:hint="eastAsia" w:ascii="仿宋" w:hAnsi="仿宋" w:eastAsia="仿宋" w:cs="仿宋"/>
          <w:sz w:val="30"/>
          <w:szCs w:val="30"/>
          <w:highlight w:val="none"/>
          <w:lang w:val="zh-CN" w:eastAsia="zh-CN"/>
        </w:rPr>
        <w:t>上年无此项支出；具体是国内接待费支出决算0.00元（其中：外事接待费支出决算0.00元），较上年增加0.00</w:t>
      </w:r>
      <w:r>
        <w:rPr>
          <w:rFonts w:hint="eastAsia" w:ascii="仿宋" w:hAnsi="仿宋" w:eastAsia="仿宋" w:cs="仿宋"/>
          <w:sz w:val="30"/>
          <w:szCs w:val="30"/>
          <w:highlight w:val="none"/>
          <w:lang w:val="en-US" w:eastAsia="zh-CN"/>
        </w:rPr>
        <w:t>元，</w:t>
      </w:r>
      <w:r>
        <w:rPr>
          <w:rFonts w:hint="eastAsia" w:ascii="仿宋" w:hAnsi="仿宋" w:eastAsia="仿宋" w:cs="仿宋"/>
          <w:sz w:val="30"/>
          <w:szCs w:val="30"/>
          <w:highlight w:val="none"/>
          <w:lang w:val="zh-CN" w:eastAsia="zh-CN"/>
        </w:rPr>
        <w:t>上年无此项支出；国（境）外接待费支出决算0.00元较上年增0.00</w:t>
      </w:r>
      <w:r>
        <w:rPr>
          <w:rFonts w:hint="eastAsia" w:ascii="仿宋" w:hAnsi="仿宋" w:eastAsia="仿宋" w:cs="仿宋"/>
          <w:sz w:val="30"/>
          <w:szCs w:val="30"/>
          <w:highlight w:val="none"/>
          <w:lang w:val="en-US" w:eastAsia="zh-CN"/>
        </w:rPr>
        <w:t>元，</w:t>
      </w:r>
      <w:r>
        <w:rPr>
          <w:rFonts w:hint="eastAsia" w:ascii="仿宋" w:hAnsi="仿宋" w:eastAsia="仿宋" w:cs="仿宋"/>
          <w:sz w:val="30"/>
          <w:szCs w:val="30"/>
          <w:highlight w:val="none"/>
          <w:lang w:val="zh-CN" w:eastAsia="zh-CN"/>
        </w:rPr>
        <w:t>上年无此项支出。</w:t>
      </w:r>
    </w:p>
    <w:p w14:paraId="70748D4B">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楷体" w:hAnsi="楷体" w:eastAsia="楷体" w:cs="楷体"/>
          <w:sz w:val="30"/>
          <w:szCs w:val="30"/>
          <w:highlight w:val="none"/>
          <w:lang w:val="en-US" w:eastAsia="zh-CN"/>
        </w:rPr>
      </w:pPr>
      <w:r>
        <w:rPr>
          <w:rFonts w:hint="eastAsia" w:ascii="楷体" w:hAnsi="楷体" w:eastAsia="楷体" w:cs="楷体"/>
          <w:sz w:val="30"/>
          <w:szCs w:val="30"/>
          <w:highlight w:val="none"/>
          <w:lang w:val="en-US" w:eastAsia="zh-CN"/>
        </w:rPr>
        <w:t>（二）一般公共预算财政拨款“三公”经费支出决算情况说明</w:t>
      </w:r>
    </w:p>
    <w:p w14:paraId="2358EABF">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kern w:val="2"/>
          <w:sz w:val="30"/>
          <w:szCs w:val="30"/>
          <w:highlight w:val="none"/>
          <w:lang w:val="zh-CN" w:eastAsia="zh-CN" w:bidi="ar-SA"/>
        </w:rPr>
      </w:pPr>
      <w:r>
        <w:rPr>
          <w:rFonts w:hint="eastAsia" w:ascii="仿宋" w:hAnsi="仿宋" w:eastAsia="仿宋" w:cs="仿宋"/>
          <w:kern w:val="2"/>
          <w:sz w:val="30"/>
          <w:szCs w:val="30"/>
          <w:highlight w:val="none"/>
          <w:lang w:val="en-US" w:eastAsia="zh-CN" w:bidi="ar-SA"/>
        </w:rPr>
        <w:t>2024</w:t>
      </w:r>
      <w:r>
        <w:rPr>
          <w:rFonts w:hint="eastAsia" w:ascii="仿宋" w:hAnsi="仿宋" w:eastAsia="仿宋" w:cs="仿宋"/>
          <w:kern w:val="2"/>
          <w:sz w:val="30"/>
          <w:szCs w:val="30"/>
          <w:highlight w:val="none"/>
          <w:lang w:val="zh-CN" w:eastAsia="zh-CN" w:bidi="ar-SA"/>
        </w:rPr>
        <w:t>年度一般公共预算财政拨款“三公”经费支出年初预算为0.00元，支出决算为0.00元。支出决算较上年增加0.00</w:t>
      </w:r>
      <w:r>
        <w:rPr>
          <w:rFonts w:hint="eastAsia" w:ascii="仿宋" w:hAnsi="仿宋" w:eastAsia="仿宋" w:cs="仿宋"/>
          <w:kern w:val="2"/>
          <w:sz w:val="30"/>
          <w:szCs w:val="30"/>
          <w:highlight w:val="none"/>
          <w:lang w:val="en-US" w:eastAsia="zh-CN" w:bidi="ar-SA"/>
        </w:rPr>
        <w:t>元，</w:t>
      </w:r>
      <w:r>
        <w:rPr>
          <w:rFonts w:hint="eastAsia" w:ascii="仿宋" w:hAnsi="仿宋" w:eastAsia="仿宋" w:cs="仿宋"/>
          <w:kern w:val="2"/>
          <w:sz w:val="30"/>
          <w:szCs w:val="30"/>
          <w:highlight w:val="none"/>
          <w:lang w:val="zh-CN" w:eastAsia="zh-CN" w:bidi="ar-SA"/>
        </w:rPr>
        <w:t>上年无此项支出。</w:t>
      </w:r>
    </w:p>
    <w:p w14:paraId="21C7AC0C">
      <w:pPr>
        <w:widowControl/>
        <w:snapToGrid w:val="0"/>
        <w:spacing w:before="100" w:after="100" w:line="360" w:lineRule="auto"/>
        <w:ind w:firstLine="600" w:firstLineChars="200"/>
        <w:jc w:val="left"/>
        <w:rPr>
          <w:rFonts w:hint="eastAsia" w:ascii="仿宋" w:hAnsi="仿宋" w:eastAsia="仿宋" w:cs="仿宋"/>
          <w:kern w:val="2"/>
          <w:sz w:val="30"/>
          <w:szCs w:val="30"/>
          <w:highlight w:val="none"/>
          <w:lang w:val="zh-CN" w:eastAsia="zh-CN" w:bidi="ar-SA"/>
        </w:rPr>
      </w:pPr>
      <w:r>
        <w:rPr>
          <w:rFonts w:hint="eastAsia" w:ascii="仿宋" w:hAnsi="仿宋" w:eastAsia="仿宋" w:cs="仿宋"/>
          <w:kern w:val="2"/>
          <w:sz w:val="30"/>
          <w:szCs w:val="30"/>
          <w:highlight w:val="none"/>
          <w:lang w:val="zh-CN" w:eastAsia="zh-CN" w:bidi="ar-SA"/>
        </w:rPr>
        <w:t>一般公共预算财政拨款“三公”经费支出中：因公出国（境）费支出年初预算为0.00元，决算为0.00元；公务用车购置费支出年初预算为0.00元，决算为0.00元；公务用车运行维护费支出年初预算为0.00元，决算为0.00元；公务接待费支出年初预算为0.00元，决算为0.00元。</w:t>
      </w:r>
    </w:p>
    <w:p w14:paraId="3C1EF0E2">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kern w:val="2"/>
          <w:sz w:val="30"/>
          <w:szCs w:val="30"/>
          <w:highlight w:val="none"/>
          <w:lang w:val="zh-CN" w:eastAsia="zh-CN" w:bidi="ar-SA"/>
        </w:rPr>
      </w:pPr>
      <w:r>
        <w:rPr>
          <w:rFonts w:hint="eastAsia" w:ascii="仿宋" w:hAnsi="仿宋" w:eastAsia="仿宋" w:cs="仿宋"/>
          <w:kern w:val="2"/>
          <w:sz w:val="30"/>
          <w:szCs w:val="30"/>
          <w:highlight w:val="none"/>
          <w:lang w:val="zh-CN" w:eastAsia="zh-CN" w:bidi="ar-SA"/>
        </w:rPr>
        <w:t>一般公共预算财政拨款“三公”经费支出中：因公出国（境）费支出决算增加0.00元，上年无此项支出；公务用车购置费支出决算增加0.00元，上年无此项支出；公务用车运行维护费支出决算增加0.00元，上年无此项支出；公务接待费支出决算增</w:t>
      </w:r>
      <w:r>
        <w:rPr>
          <w:rFonts w:hint="eastAsia" w:ascii="仿宋" w:hAnsi="仿宋" w:eastAsia="仿宋" w:cs="仿宋"/>
          <w:kern w:val="2"/>
          <w:sz w:val="30"/>
          <w:szCs w:val="30"/>
          <w:highlight w:val="none"/>
          <w:lang w:val="en-US" w:eastAsia="zh-CN" w:bidi="ar-SA"/>
        </w:rPr>
        <w:t>加</w:t>
      </w:r>
      <w:r>
        <w:rPr>
          <w:rFonts w:hint="eastAsia" w:ascii="仿宋" w:hAnsi="仿宋" w:eastAsia="仿宋" w:cs="仿宋"/>
          <w:kern w:val="2"/>
          <w:sz w:val="30"/>
          <w:szCs w:val="30"/>
          <w:highlight w:val="none"/>
          <w:lang w:val="zh-CN" w:eastAsia="zh-CN" w:bidi="ar-SA"/>
        </w:rPr>
        <w:t>0.00元，上年无此项支出。具体是国内接待费支出决算0.00元（其中：外事接待费支出决算0.00元），上年无此项支出。国（境）外接待费支出决算0.00元，上年无此项支出。</w:t>
      </w:r>
    </w:p>
    <w:p w14:paraId="43418E55">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kern w:val="2"/>
          <w:sz w:val="30"/>
          <w:szCs w:val="30"/>
          <w:highlight w:val="none"/>
          <w:lang w:val="zh-CN" w:eastAsia="zh-CN" w:bidi="ar-SA"/>
        </w:rPr>
      </w:pPr>
      <w:r>
        <w:rPr>
          <w:rFonts w:hint="eastAsia" w:ascii="仿宋" w:hAnsi="仿宋" w:eastAsia="仿宋" w:cs="仿宋"/>
          <w:kern w:val="2"/>
          <w:sz w:val="30"/>
          <w:szCs w:val="30"/>
          <w:highlight w:val="none"/>
          <w:lang w:val="zh-CN" w:eastAsia="zh-CN" w:bidi="ar-SA"/>
        </w:rPr>
        <w:t>一般公共预算财政拨款“三公”经费支出实物量的具体情况：</w:t>
      </w:r>
    </w:p>
    <w:p w14:paraId="779A9DB3">
      <w:pPr>
        <w:widowControl/>
        <w:numPr>
          <w:ilvl w:val="0"/>
          <w:numId w:val="0"/>
        </w:numPr>
        <w:snapToGrid w:val="0"/>
        <w:spacing w:before="100" w:after="100" w:line="360" w:lineRule="auto"/>
        <w:ind w:firstLine="600" w:firstLineChars="200"/>
        <w:jc w:val="left"/>
        <w:rPr>
          <w:rFonts w:hint="eastAsia" w:ascii="仿宋" w:hAnsi="仿宋" w:eastAsia="仿宋" w:cs="仿宋"/>
          <w:kern w:val="2"/>
          <w:sz w:val="30"/>
          <w:szCs w:val="30"/>
          <w:highlight w:val="none"/>
          <w:lang w:val="zh-CN" w:eastAsia="zh-CN" w:bidi="ar-SA"/>
        </w:rPr>
      </w:pPr>
      <w:r>
        <w:rPr>
          <w:rFonts w:hint="eastAsia" w:ascii="仿宋" w:hAnsi="仿宋" w:eastAsia="仿宋" w:cs="仿宋"/>
          <w:kern w:val="2"/>
          <w:sz w:val="30"/>
          <w:szCs w:val="30"/>
          <w:highlight w:val="none"/>
          <w:lang w:val="en-US" w:eastAsia="zh-CN" w:bidi="ar-SA"/>
        </w:rPr>
        <w:t>1.</w:t>
      </w:r>
      <w:r>
        <w:rPr>
          <w:rFonts w:hint="eastAsia" w:ascii="仿宋" w:hAnsi="仿宋" w:eastAsia="仿宋" w:cs="仿宋"/>
          <w:kern w:val="2"/>
          <w:sz w:val="30"/>
          <w:szCs w:val="30"/>
          <w:highlight w:val="none"/>
          <w:lang w:val="zh-CN" w:eastAsia="zh-CN" w:bidi="ar-SA"/>
        </w:rPr>
        <w:t>安排因公出国（境）团组0个，累计0人次。</w:t>
      </w:r>
      <w:r>
        <w:rPr>
          <w:rFonts w:hint="eastAsia" w:ascii="仿宋" w:hAnsi="仿宋" w:eastAsia="仿宋" w:cs="仿宋"/>
          <w:kern w:val="2"/>
          <w:sz w:val="30"/>
          <w:szCs w:val="30"/>
          <w:highlight w:val="none"/>
          <w:lang w:val="en-US" w:eastAsia="zh-CN" w:bidi="ar-SA"/>
        </w:rPr>
        <w:t>本单位无此项支出。</w:t>
      </w:r>
    </w:p>
    <w:p w14:paraId="7DD1644B">
      <w:pPr>
        <w:widowControl/>
        <w:numPr>
          <w:ilvl w:val="0"/>
          <w:numId w:val="0"/>
        </w:numPr>
        <w:snapToGrid w:val="0"/>
        <w:spacing w:before="100" w:after="100" w:line="360" w:lineRule="auto"/>
        <w:ind w:firstLine="600" w:firstLineChars="200"/>
        <w:jc w:val="left"/>
        <w:rPr>
          <w:rFonts w:hint="eastAsia" w:ascii="仿宋" w:hAnsi="仿宋" w:eastAsia="仿宋" w:cs="仿宋"/>
          <w:kern w:val="2"/>
          <w:sz w:val="30"/>
          <w:szCs w:val="30"/>
          <w:highlight w:val="none"/>
          <w:lang w:val="zh-CN" w:eastAsia="zh-CN" w:bidi="ar-SA"/>
        </w:rPr>
      </w:pPr>
      <w:r>
        <w:rPr>
          <w:rFonts w:hint="eastAsia" w:ascii="仿宋" w:hAnsi="仿宋" w:eastAsia="仿宋" w:cs="仿宋"/>
          <w:kern w:val="2"/>
          <w:sz w:val="30"/>
          <w:szCs w:val="30"/>
          <w:highlight w:val="none"/>
          <w:lang w:val="zh-CN" w:eastAsia="zh-CN" w:bidi="ar-SA"/>
        </w:rPr>
        <w:t>2.购置车辆0辆。开支一般公共预算财政拨款的公务用车保有量为0辆。</w:t>
      </w:r>
      <w:r>
        <w:rPr>
          <w:rFonts w:hint="eastAsia" w:ascii="仿宋" w:hAnsi="仿宋" w:eastAsia="仿宋" w:cs="仿宋"/>
          <w:kern w:val="2"/>
          <w:sz w:val="30"/>
          <w:szCs w:val="30"/>
          <w:highlight w:val="none"/>
          <w:lang w:val="en-US" w:eastAsia="zh-CN" w:bidi="ar-SA"/>
        </w:rPr>
        <w:t>本单位无此项支出。</w:t>
      </w:r>
    </w:p>
    <w:p w14:paraId="79F72F6C">
      <w:pPr>
        <w:widowControl/>
        <w:snapToGrid w:val="0"/>
        <w:spacing w:before="100" w:after="100" w:line="360" w:lineRule="auto"/>
        <w:ind w:firstLine="600" w:firstLineChars="200"/>
        <w:jc w:val="left"/>
        <w:rPr>
          <w:rFonts w:hint="eastAsia" w:ascii="仿宋" w:hAnsi="仿宋" w:eastAsia="仿宋" w:cs="仿宋"/>
          <w:kern w:val="2"/>
          <w:sz w:val="30"/>
          <w:szCs w:val="30"/>
          <w:highlight w:val="none"/>
          <w:lang w:val="zh-CN" w:eastAsia="zh-CN" w:bidi="ar-SA"/>
        </w:rPr>
      </w:pPr>
      <w:r>
        <w:rPr>
          <w:rFonts w:hint="eastAsia" w:ascii="仿宋" w:hAnsi="仿宋" w:eastAsia="仿宋" w:cs="仿宋"/>
          <w:kern w:val="2"/>
          <w:sz w:val="30"/>
          <w:szCs w:val="30"/>
          <w:highlight w:val="none"/>
          <w:lang w:val="zh-CN" w:eastAsia="zh-CN" w:bidi="ar-SA"/>
        </w:rPr>
        <w:t>3.安排国内公务接待0批次（其中：外事接待0批次），接待人次0人（其中：外事接待人次0人）。安排国（境）外公务接待0批次，接待人次0人。</w:t>
      </w:r>
      <w:r>
        <w:rPr>
          <w:rFonts w:hint="eastAsia" w:ascii="仿宋" w:hAnsi="仿宋" w:eastAsia="仿宋" w:cs="仿宋"/>
          <w:kern w:val="2"/>
          <w:sz w:val="30"/>
          <w:szCs w:val="30"/>
          <w:highlight w:val="none"/>
          <w:lang w:val="en-US" w:eastAsia="zh-CN" w:bidi="ar-SA"/>
        </w:rPr>
        <w:t>本单位无此项支出。</w:t>
      </w:r>
    </w:p>
    <w:p w14:paraId="50519133">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楷体" w:hAnsi="楷体" w:eastAsia="楷体" w:cs="楷体"/>
          <w:sz w:val="30"/>
          <w:szCs w:val="30"/>
          <w:highlight w:val="none"/>
          <w:lang w:val="en-US" w:eastAsia="zh-CN"/>
        </w:rPr>
      </w:pPr>
      <w:r>
        <w:rPr>
          <w:rFonts w:hint="eastAsia" w:ascii="楷体" w:hAnsi="楷体" w:eastAsia="楷体" w:cs="楷体"/>
          <w:sz w:val="30"/>
          <w:szCs w:val="30"/>
          <w:highlight w:val="none"/>
          <w:lang w:val="en-US" w:eastAsia="zh-CN"/>
        </w:rPr>
        <w:t>（三）需要说明的事项</w:t>
      </w:r>
    </w:p>
    <w:p w14:paraId="1F0B0F51">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不存在需要说明的事项</w:t>
      </w:r>
    </w:p>
    <w:p w14:paraId="5F3C194C">
      <w:pPr>
        <w:widowControl/>
        <w:snapToGrid w:val="0"/>
        <w:spacing w:before="100" w:after="100" w:line="360" w:lineRule="auto"/>
        <w:ind w:firstLine="600" w:firstLineChars="200"/>
        <w:jc w:val="left"/>
        <w:rPr>
          <w:rFonts w:hint="eastAsia" w:ascii="仿宋_GB2312" w:eastAsia="仿宋_GB2312"/>
          <w:sz w:val="30"/>
          <w:szCs w:val="30"/>
          <w:highlight w:val="none"/>
          <w:lang w:eastAsia="zh-CN"/>
        </w:rPr>
      </w:pPr>
    </w:p>
    <w:p w14:paraId="4D1BCD28">
      <w:pPr>
        <w:widowControl/>
        <w:snapToGrid w:val="0"/>
        <w:spacing w:before="100" w:after="100" w:line="360" w:lineRule="auto"/>
        <w:ind w:firstLine="640" w:firstLineChars="200"/>
        <w:jc w:val="center"/>
        <w:outlineLvl w:val="0"/>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14:paraId="0F632709">
      <w:pPr>
        <w:spacing w:line="600" w:lineRule="exact"/>
        <w:ind w:firstLine="600" w:firstLineChars="200"/>
        <w:outlineLvl w:val="1"/>
        <w:rPr>
          <w:rFonts w:hint="eastAsia" w:ascii="黑体" w:hAnsi="黑体" w:eastAsia="黑体"/>
          <w:sz w:val="30"/>
          <w:szCs w:val="30"/>
          <w:highlight w:val="none"/>
          <w:lang w:val="en-US" w:eastAsia="zh-CN"/>
        </w:rPr>
      </w:pPr>
      <w:r>
        <w:rPr>
          <w:rFonts w:hint="eastAsia" w:ascii="黑体" w:hAnsi="黑体" w:eastAsia="黑体"/>
          <w:sz w:val="30"/>
          <w:szCs w:val="30"/>
          <w:highlight w:val="none"/>
          <w:lang w:val="en-US" w:eastAsia="zh-CN"/>
        </w:rPr>
        <w:t>一、机关运行经费支出情况</w:t>
      </w:r>
    </w:p>
    <w:p w14:paraId="22B7E29C">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zh-CN" w:eastAsia="zh-CN" w:bidi="ar-SA"/>
        </w:rPr>
        <w:t>华宁县幼儿园</w:t>
      </w:r>
      <w:r>
        <w:rPr>
          <w:rFonts w:hint="eastAsia" w:ascii="仿宋" w:hAnsi="仿宋" w:eastAsia="仿宋" w:cs="仿宋"/>
          <w:kern w:val="2"/>
          <w:sz w:val="30"/>
          <w:szCs w:val="30"/>
          <w:highlight w:val="none"/>
          <w:lang w:val="en-US" w:eastAsia="zh-CN" w:bidi="ar-SA"/>
        </w:rPr>
        <w:t>2024年机关运行经费支出0.00元，比上年增加0.00元，增长0.00%，本单位无此项支出。</w:t>
      </w:r>
    </w:p>
    <w:p w14:paraId="1E1B8BD1">
      <w:pPr>
        <w:spacing w:line="600" w:lineRule="exact"/>
        <w:ind w:firstLine="600" w:firstLineChars="200"/>
        <w:outlineLvl w:val="1"/>
        <w:rPr>
          <w:rFonts w:hint="eastAsia" w:ascii="黑体" w:hAnsi="黑体" w:eastAsia="黑体"/>
          <w:sz w:val="30"/>
          <w:szCs w:val="30"/>
          <w:highlight w:val="none"/>
          <w:lang w:val="en-US" w:eastAsia="zh-CN"/>
        </w:rPr>
      </w:pPr>
      <w:r>
        <w:rPr>
          <w:rFonts w:hint="eastAsia" w:ascii="黑体" w:hAnsi="黑体" w:eastAsia="黑体"/>
          <w:sz w:val="30"/>
          <w:szCs w:val="30"/>
          <w:highlight w:val="none"/>
          <w:lang w:val="en-US" w:eastAsia="zh-CN"/>
        </w:rPr>
        <w:t>二、国有资产占用情况</w:t>
      </w:r>
    </w:p>
    <w:p w14:paraId="11A888A2">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kern w:val="2"/>
          <w:sz w:val="30"/>
          <w:szCs w:val="30"/>
          <w:highlight w:val="none"/>
          <w:lang w:val="zh-CN" w:eastAsia="zh-CN" w:bidi="ar-SA"/>
        </w:rPr>
      </w:pPr>
      <w:r>
        <w:rPr>
          <w:rFonts w:hint="eastAsia" w:ascii="仿宋" w:hAnsi="仿宋" w:eastAsia="仿宋" w:cs="仿宋"/>
          <w:kern w:val="2"/>
          <w:sz w:val="30"/>
          <w:szCs w:val="30"/>
          <w:highlight w:val="none"/>
          <w:lang w:val="zh-CN" w:eastAsia="zh-CN" w:bidi="ar-SA"/>
        </w:rPr>
        <w:t>截至2024年末，华宁县幼儿园资产总额</w:t>
      </w:r>
      <w:r>
        <w:rPr>
          <w:rFonts w:hint="eastAsia" w:ascii="仿宋" w:hAnsi="仿宋" w:eastAsia="仿宋" w:cs="仿宋"/>
          <w:kern w:val="2"/>
          <w:sz w:val="30"/>
          <w:szCs w:val="30"/>
          <w:highlight w:val="none"/>
          <w:lang w:val="en-US" w:eastAsia="zh-CN" w:bidi="ar-SA"/>
        </w:rPr>
        <w:t>714,689.95</w:t>
      </w:r>
      <w:r>
        <w:rPr>
          <w:rFonts w:hint="eastAsia" w:ascii="仿宋" w:hAnsi="仿宋" w:eastAsia="仿宋" w:cs="仿宋"/>
          <w:kern w:val="2"/>
          <w:sz w:val="30"/>
          <w:szCs w:val="30"/>
          <w:highlight w:val="none"/>
          <w:lang w:val="zh-CN" w:eastAsia="zh-CN" w:bidi="ar-SA"/>
        </w:rPr>
        <w:t>元，其中，流动资产</w:t>
      </w:r>
      <w:r>
        <w:rPr>
          <w:rFonts w:hint="eastAsia" w:ascii="仿宋" w:hAnsi="仿宋" w:eastAsia="仿宋" w:cs="仿宋"/>
          <w:kern w:val="2"/>
          <w:sz w:val="30"/>
          <w:szCs w:val="30"/>
          <w:highlight w:val="none"/>
          <w:lang w:val="en-US" w:eastAsia="zh-CN" w:bidi="ar-SA"/>
        </w:rPr>
        <w:t>9,863.82</w:t>
      </w:r>
      <w:r>
        <w:rPr>
          <w:rFonts w:hint="eastAsia" w:ascii="仿宋" w:hAnsi="仿宋" w:eastAsia="仿宋" w:cs="仿宋"/>
          <w:kern w:val="2"/>
          <w:sz w:val="30"/>
          <w:szCs w:val="30"/>
          <w:highlight w:val="none"/>
          <w:lang w:val="zh-CN" w:eastAsia="zh-CN" w:bidi="ar-SA"/>
        </w:rPr>
        <w:t>元，固定资产</w:t>
      </w:r>
      <w:r>
        <w:rPr>
          <w:rFonts w:hint="eastAsia" w:ascii="仿宋" w:hAnsi="仿宋" w:eastAsia="仿宋" w:cs="仿宋"/>
          <w:kern w:val="2"/>
          <w:sz w:val="30"/>
          <w:szCs w:val="30"/>
          <w:highlight w:val="none"/>
          <w:lang w:val="en-US" w:eastAsia="zh-CN" w:bidi="ar-SA"/>
        </w:rPr>
        <w:t>704,826.13</w:t>
      </w:r>
      <w:r>
        <w:rPr>
          <w:rFonts w:hint="eastAsia" w:ascii="仿宋" w:hAnsi="仿宋" w:eastAsia="仿宋" w:cs="仿宋"/>
          <w:kern w:val="2"/>
          <w:sz w:val="30"/>
          <w:szCs w:val="30"/>
          <w:highlight w:val="none"/>
          <w:lang w:val="zh-CN" w:eastAsia="zh-CN" w:bidi="ar-SA"/>
        </w:rPr>
        <w:t>元（净值），对外投资及有价证券</w:t>
      </w:r>
      <w:r>
        <w:rPr>
          <w:rFonts w:hint="eastAsia" w:ascii="仿宋" w:hAnsi="仿宋" w:eastAsia="仿宋" w:cs="仿宋"/>
          <w:kern w:val="2"/>
          <w:sz w:val="30"/>
          <w:szCs w:val="30"/>
          <w:highlight w:val="none"/>
          <w:lang w:val="en-US" w:eastAsia="zh-CN" w:bidi="ar-SA"/>
        </w:rPr>
        <w:t>0.00</w:t>
      </w:r>
      <w:r>
        <w:rPr>
          <w:rFonts w:hint="eastAsia" w:ascii="仿宋" w:hAnsi="仿宋" w:eastAsia="仿宋" w:cs="仿宋"/>
          <w:kern w:val="2"/>
          <w:sz w:val="30"/>
          <w:szCs w:val="30"/>
          <w:highlight w:val="none"/>
          <w:lang w:val="zh-CN" w:eastAsia="zh-CN" w:bidi="ar-SA"/>
        </w:rPr>
        <w:t>元，在建工程</w:t>
      </w:r>
      <w:r>
        <w:rPr>
          <w:rFonts w:hint="eastAsia" w:ascii="仿宋" w:hAnsi="仿宋" w:eastAsia="仿宋" w:cs="仿宋"/>
          <w:kern w:val="2"/>
          <w:sz w:val="30"/>
          <w:szCs w:val="30"/>
          <w:highlight w:val="none"/>
          <w:lang w:val="en-US" w:eastAsia="zh-CN" w:bidi="ar-SA"/>
        </w:rPr>
        <w:t>0.00</w:t>
      </w:r>
      <w:r>
        <w:rPr>
          <w:rFonts w:hint="eastAsia" w:ascii="仿宋" w:hAnsi="仿宋" w:eastAsia="仿宋" w:cs="仿宋"/>
          <w:kern w:val="2"/>
          <w:sz w:val="30"/>
          <w:szCs w:val="30"/>
          <w:highlight w:val="none"/>
          <w:lang w:val="zh-CN" w:eastAsia="zh-CN" w:bidi="ar-SA"/>
        </w:rPr>
        <w:t>元，无形资产</w:t>
      </w:r>
      <w:r>
        <w:rPr>
          <w:rFonts w:hint="eastAsia" w:ascii="仿宋" w:hAnsi="仿宋" w:eastAsia="仿宋" w:cs="仿宋"/>
          <w:kern w:val="2"/>
          <w:sz w:val="30"/>
          <w:szCs w:val="30"/>
          <w:highlight w:val="none"/>
          <w:lang w:val="en-US" w:eastAsia="zh-CN" w:bidi="ar-SA"/>
        </w:rPr>
        <w:t>0.00</w:t>
      </w:r>
      <w:r>
        <w:rPr>
          <w:rFonts w:hint="eastAsia" w:ascii="仿宋" w:hAnsi="仿宋" w:eastAsia="仿宋" w:cs="仿宋"/>
          <w:kern w:val="2"/>
          <w:sz w:val="30"/>
          <w:szCs w:val="30"/>
          <w:highlight w:val="none"/>
          <w:lang w:val="zh-CN" w:eastAsia="zh-CN" w:bidi="ar-SA"/>
        </w:rPr>
        <w:t>元（净值），其他资产</w:t>
      </w:r>
      <w:r>
        <w:rPr>
          <w:rFonts w:hint="eastAsia" w:ascii="仿宋" w:hAnsi="仿宋" w:eastAsia="仿宋" w:cs="仿宋"/>
          <w:kern w:val="2"/>
          <w:sz w:val="30"/>
          <w:szCs w:val="30"/>
          <w:highlight w:val="none"/>
          <w:lang w:val="en-US" w:eastAsia="zh-CN" w:bidi="ar-SA"/>
        </w:rPr>
        <w:t>0.00</w:t>
      </w:r>
      <w:r>
        <w:rPr>
          <w:rFonts w:hint="eastAsia" w:ascii="仿宋" w:hAnsi="仿宋" w:eastAsia="仿宋" w:cs="仿宋"/>
          <w:kern w:val="2"/>
          <w:sz w:val="30"/>
          <w:szCs w:val="30"/>
          <w:highlight w:val="none"/>
          <w:lang w:val="zh-CN" w:eastAsia="zh-CN" w:bidi="ar-SA"/>
        </w:rPr>
        <w:t>元（净值）（具体内容详见附表）。与上年相比，本年资产总额减少</w:t>
      </w:r>
      <w:r>
        <w:rPr>
          <w:rFonts w:hint="eastAsia" w:ascii="仿宋" w:hAnsi="仿宋" w:eastAsia="仿宋" w:cs="仿宋"/>
          <w:kern w:val="2"/>
          <w:sz w:val="30"/>
          <w:szCs w:val="30"/>
          <w:highlight w:val="none"/>
          <w:lang w:val="en-US" w:eastAsia="zh-CN" w:bidi="ar-SA"/>
        </w:rPr>
        <w:t>160,769.35</w:t>
      </w:r>
      <w:r>
        <w:rPr>
          <w:rFonts w:hint="eastAsia" w:ascii="仿宋" w:hAnsi="仿宋" w:eastAsia="仿宋" w:cs="仿宋"/>
          <w:kern w:val="2"/>
          <w:sz w:val="30"/>
          <w:szCs w:val="30"/>
          <w:highlight w:val="none"/>
          <w:lang w:val="zh-CN" w:eastAsia="zh-CN" w:bidi="ar-SA"/>
        </w:rPr>
        <w:t>元，其中固定资产增加</w:t>
      </w:r>
      <w:r>
        <w:rPr>
          <w:rFonts w:hint="eastAsia" w:ascii="仿宋" w:hAnsi="仿宋" w:eastAsia="仿宋" w:cs="仿宋"/>
          <w:kern w:val="2"/>
          <w:sz w:val="30"/>
          <w:szCs w:val="30"/>
          <w:highlight w:val="none"/>
          <w:lang w:val="en-US" w:eastAsia="zh-CN" w:bidi="ar-SA"/>
        </w:rPr>
        <w:t>352,597.13</w:t>
      </w:r>
      <w:r>
        <w:rPr>
          <w:rFonts w:hint="eastAsia" w:ascii="仿宋" w:hAnsi="仿宋" w:eastAsia="仿宋" w:cs="仿宋"/>
          <w:kern w:val="2"/>
          <w:sz w:val="30"/>
          <w:szCs w:val="30"/>
          <w:highlight w:val="none"/>
          <w:lang w:val="zh-CN" w:eastAsia="zh-CN" w:bidi="ar-SA"/>
        </w:rPr>
        <w:t>元。处置房屋建筑物</w:t>
      </w:r>
      <w:r>
        <w:rPr>
          <w:rFonts w:hint="eastAsia" w:ascii="仿宋" w:hAnsi="仿宋" w:eastAsia="仿宋" w:cs="仿宋"/>
          <w:kern w:val="2"/>
          <w:sz w:val="30"/>
          <w:szCs w:val="30"/>
          <w:highlight w:val="none"/>
          <w:lang w:val="en-US" w:eastAsia="zh-CN" w:bidi="ar-SA"/>
        </w:rPr>
        <w:t>0.00</w:t>
      </w:r>
      <w:r>
        <w:rPr>
          <w:rFonts w:hint="eastAsia" w:ascii="仿宋" w:hAnsi="仿宋" w:eastAsia="仿宋" w:cs="仿宋"/>
          <w:kern w:val="2"/>
          <w:sz w:val="30"/>
          <w:szCs w:val="30"/>
          <w:highlight w:val="none"/>
          <w:lang w:val="zh-CN" w:eastAsia="zh-CN" w:bidi="ar-SA"/>
        </w:rPr>
        <w:t>平方米，账面原值</w:t>
      </w:r>
      <w:r>
        <w:rPr>
          <w:rFonts w:hint="eastAsia" w:ascii="仿宋" w:hAnsi="仿宋" w:eastAsia="仿宋" w:cs="仿宋"/>
          <w:kern w:val="2"/>
          <w:sz w:val="30"/>
          <w:szCs w:val="30"/>
          <w:highlight w:val="none"/>
          <w:lang w:val="en-US" w:eastAsia="zh-CN" w:bidi="ar-SA"/>
        </w:rPr>
        <w:t>0.00</w:t>
      </w:r>
      <w:r>
        <w:rPr>
          <w:rFonts w:hint="eastAsia" w:ascii="仿宋" w:hAnsi="仿宋" w:eastAsia="仿宋" w:cs="仿宋"/>
          <w:kern w:val="2"/>
          <w:sz w:val="30"/>
          <w:szCs w:val="30"/>
          <w:highlight w:val="none"/>
          <w:lang w:val="zh-CN" w:eastAsia="zh-CN" w:bidi="ar-SA"/>
        </w:rPr>
        <w:t>元；处置车辆</w:t>
      </w:r>
      <w:r>
        <w:rPr>
          <w:rFonts w:hint="eastAsia" w:ascii="仿宋" w:hAnsi="仿宋" w:eastAsia="仿宋" w:cs="仿宋"/>
          <w:kern w:val="2"/>
          <w:sz w:val="30"/>
          <w:szCs w:val="30"/>
          <w:highlight w:val="none"/>
          <w:lang w:val="en-US" w:eastAsia="zh-CN" w:bidi="ar-SA"/>
        </w:rPr>
        <w:t>0</w:t>
      </w:r>
      <w:r>
        <w:rPr>
          <w:rFonts w:hint="eastAsia" w:ascii="仿宋" w:hAnsi="仿宋" w:eastAsia="仿宋" w:cs="仿宋"/>
          <w:kern w:val="2"/>
          <w:sz w:val="30"/>
          <w:szCs w:val="30"/>
          <w:highlight w:val="none"/>
          <w:lang w:val="zh-CN" w:eastAsia="zh-CN" w:bidi="ar-SA"/>
        </w:rPr>
        <w:t>辆，账面原值</w:t>
      </w:r>
      <w:r>
        <w:rPr>
          <w:rFonts w:hint="eastAsia" w:ascii="仿宋" w:hAnsi="仿宋" w:eastAsia="仿宋" w:cs="仿宋"/>
          <w:kern w:val="2"/>
          <w:sz w:val="30"/>
          <w:szCs w:val="30"/>
          <w:highlight w:val="none"/>
          <w:lang w:val="en-US" w:eastAsia="zh-CN" w:bidi="ar-SA"/>
        </w:rPr>
        <w:t>0.00</w:t>
      </w:r>
      <w:r>
        <w:rPr>
          <w:rFonts w:hint="eastAsia" w:ascii="仿宋" w:hAnsi="仿宋" w:eastAsia="仿宋" w:cs="仿宋"/>
          <w:kern w:val="2"/>
          <w:sz w:val="30"/>
          <w:szCs w:val="30"/>
          <w:highlight w:val="none"/>
          <w:lang w:val="zh-CN" w:eastAsia="zh-CN" w:bidi="ar-SA"/>
        </w:rPr>
        <w:t>元；报废报损资产</w:t>
      </w:r>
      <w:r>
        <w:rPr>
          <w:rFonts w:hint="eastAsia" w:ascii="仿宋" w:hAnsi="仿宋" w:eastAsia="仿宋" w:cs="仿宋"/>
          <w:kern w:val="2"/>
          <w:sz w:val="30"/>
          <w:szCs w:val="30"/>
          <w:highlight w:val="none"/>
          <w:lang w:val="en-US" w:eastAsia="zh-CN" w:bidi="ar-SA"/>
        </w:rPr>
        <w:t>0</w:t>
      </w:r>
      <w:r>
        <w:rPr>
          <w:rFonts w:hint="eastAsia" w:ascii="仿宋" w:hAnsi="仿宋" w:eastAsia="仿宋" w:cs="仿宋"/>
          <w:kern w:val="2"/>
          <w:sz w:val="30"/>
          <w:szCs w:val="30"/>
          <w:highlight w:val="none"/>
          <w:lang w:val="zh-CN" w:eastAsia="zh-CN" w:bidi="ar-SA"/>
        </w:rPr>
        <w:t>项，账面原值</w:t>
      </w:r>
      <w:r>
        <w:rPr>
          <w:rFonts w:hint="eastAsia" w:ascii="仿宋" w:hAnsi="仿宋" w:eastAsia="仿宋" w:cs="仿宋"/>
          <w:kern w:val="2"/>
          <w:sz w:val="30"/>
          <w:szCs w:val="30"/>
          <w:highlight w:val="none"/>
          <w:lang w:val="en-US" w:eastAsia="zh-CN" w:bidi="ar-SA"/>
        </w:rPr>
        <w:t>0.00</w:t>
      </w:r>
      <w:r>
        <w:rPr>
          <w:rFonts w:hint="eastAsia" w:ascii="仿宋" w:hAnsi="仿宋" w:eastAsia="仿宋" w:cs="仿宋"/>
          <w:kern w:val="2"/>
          <w:sz w:val="30"/>
          <w:szCs w:val="30"/>
          <w:highlight w:val="none"/>
          <w:lang w:val="zh-CN" w:eastAsia="zh-CN" w:bidi="ar-SA"/>
        </w:rPr>
        <w:t>元，实现资产处置收入</w:t>
      </w:r>
      <w:r>
        <w:rPr>
          <w:rFonts w:hint="eastAsia" w:ascii="仿宋" w:hAnsi="仿宋" w:eastAsia="仿宋" w:cs="仿宋"/>
          <w:kern w:val="2"/>
          <w:sz w:val="30"/>
          <w:szCs w:val="30"/>
          <w:highlight w:val="none"/>
          <w:lang w:val="en-US" w:eastAsia="zh-CN" w:bidi="ar-SA"/>
        </w:rPr>
        <w:t>0.00</w:t>
      </w:r>
      <w:r>
        <w:rPr>
          <w:rFonts w:hint="eastAsia" w:ascii="仿宋" w:hAnsi="仿宋" w:eastAsia="仿宋" w:cs="仿宋"/>
          <w:kern w:val="2"/>
          <w:sz w:val="30"/>
          <w:szCs w:val="30"/>
          <w:highlight w:val="none"/>
          <w:lang w:val="zh-CN" w:eastAsia="zh-CN" w:bidi="ar-SA"/>
        </w:rPr>
        <w:t>元；出租房屋</w:t>
      </w:r>
      <w:r>
        <w:rPr>
          <w:rFonts w:hint="eastAsia" w:ascii="仿宋" w:hAnsi="仿宋" w:eastAsia="仿宋" w:cs="仿宋"/>
          <w:kern w:val="2"/>
          <w:sz w:val="30"/>
          <w:szCs w:val="30"/>
          <w:highlight w:val="none"/>
          <w:lang w:val="en-US" w:eastAsia="zh-CN" w:bidi="ar-SA"/>
        </w:rPr>
        <w:t>0.00</w:t>
      </w:r>
      <w:r>
        <w:rPr>
          <w:rFonts w:hint="eastAsia" w:ascii="仿宋" w:hAnsi="仿宋" w:eastAsia="仿宋" w:cs="仿宋"/>
          <w:kern w:val="2"/>
          <w:sz w:val="30"/>
          <w:szCs w:val="30"/>
          <w:highlight w:val="none"/>
          <w:lang w:val="zh-CN" w:eastAsia="zh-CN" w:bidi="ar-SA"/>
        </w:rPr>
        <w:t>平方米，账面原值</w:t>
      </w:r>
      <w:r>
        <w:rPr>
          <w:rFonts w:hint="eastAsia" w:ascii="仿宋" w:hAnsi="仿宋" w:eastAsia="仿宋" w:cs="仿宋"/>
          <w:kern w:val="2"/>
          <w:sz w:val="30"/>
          <w:szCs w:val="30"/>
          <w:highlight w:val="none"/>
          <w:lang w:val="en-US" w:eastAsia="zh-CN" w:bidi="ar-SA"/>
        </w:rPr>
        <w:t>0.00</w:t>
      </w:r>
      <w:r>
        <w:rPr>
          <w:rFonts w:hint="eastAsia" w:ascii="仿宋" w:hAnsi="仿宋" w:eastAsia="仿宋" w:cs="仿宋"/>
          <w:kern w:val="2"/>
          <w:sz w:val="30"/>
          <w:szCs w:val="30"/>
          <w:highlight w:val="none"/>
          <w:lang w:val="zh-CN" w:eastAsia="zh-CN" w:bidi="ar-SA"/>
        </w:rPr>
        <w:t>元，实现资产使用收入</w:t>
      </w:r>
      <w:r>
        <w:rPr>
          <w:rFonts w:hint="eastAsia" w:ascii="仿宋" w:hAnsi="仿宋" w:eastAsia="仿宋" w:cs="仿宋"/>
          <w:kern w:val="2"/>
          <w:sz w:val="30"/>
          <w:szCs w:val="30"/>
          <w:highlight w:val="none"/>
          <w:lang w:val="en-US" w:eastAsia="zh-CN" w:bidi="ar-SA"/>
        </w:rPr>
        <w:t>0.00</w:t>
      </w:r>
      <w:r>
        <w:rPr>
          <w:rFonts w:hint="eastAsia" w:ascii="仿宋" w:hAnsi="仿宋" w:eastAsia="仿宋" w:cs="仿宋"/>
          <w:kern w:val="2"/>
          <w:sz w:val="30"/>
          <w:szCs w:val="30"/>
          <w:highlight w:val="none"/>
          <w:lang w:val="zh-CN" w:eastAsia="zh-CN" w:bidi="ar-SA"/>
        </w:rPr>
        <w:t>元。</w:t>
      </w:r>
    </w:p>
    <w:p w14:paraId="0D3C748A">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黑体" w:eastAsia="仿宋_GB2312" w:cs="方正小标宋简体"/>
          <w:color w:val="000000"/>
          <w:kern w:val="0"/>
          <w:sz w:val="30"/>
          <w:szCs w:val="30"/>
          <w:highlight w:val="none"/>
          <w:lang w:eastAsia="zh-CN"/>
        </w:rPr>
      </w:pPr>
      <w:r>
        <w:rPr>
          <w:rFonts w:hint="eastAsia" w:ascii="仿宋" w:hAnsi="仿宋" w:eastAsia="仿宋" w:cs="仿宋"/>
          <w:kern w:val="2"/>
          <w:sz w:val="30"/>
          <w:szCs w:val="30"/>
          <w:highlight w:val="none"/>
          <w:lang w:val="zh-CN" w:eastAsia="zh-CN" w:bidi="ar-SA"/>
        </w:rPr>
        <w:t>（国有资产占有使用情况表详见附表）</w:t>
      </w:r>
    </w:p>
    <w:tbl>
      <w:tblPr>
        <w:tblStyle w:val="6"/>
        <w:tblpPr w:leftFromText="180" w:rightFromText="180" w:topFromText="100" w:bottomFromText="100" w:vertAnchor="text" w:horzAnchor="page" w:tblpX="534" w:tblpY="490"/>
        <w:tblOverlap w:val="never"/>
        <w:tblW w:w="142" w:type="dxa"/>
        <w:tblInd w:w="-15" w:type="dxa"/>
        <w:tblLayout w:type="fixed"/>
        <w:tblCellMar>
          <w:top w:w="0" w:type="dxa"/>
          <w:left w:w="0" w:type="dxa"/>
          <w:bottom w:w="0" w:type="dxa"/>
          <w:right w:w="0" w:type="dxa"/>
        </w:tblCellMar>
      </w:tblPr>
      <w:tblGrid>
        <w:gridCol w:w="142"/>
      </w:tblGrid>
      <w:tr w14:paraId="100985AF">
        <w:tblPrEx>
          <w:tblCellMar>
            <w:top w:w="0" w:type="dxa"/>
            <w:left w:w="0" w:type="dxa"/>
            <w:bottom w:w="0" w:type="dxa"/>
            <w:right w:w="0" w:type="dxa"/>
          </w:tblCellMar>
        </w:tblPrEx>
        <w:trPr>
          <w:trHeight w:val="495" w:hRule="atLeast"/>
        </w:trPr>
        <w:tc>
          <w:tcPr>
            <w:tcW w:w="142" w:type="dxa"/>
            <w:tcBorders>
              <w:top w:val="nil"/>
              <w:left w:val="nil"/>
              <w:bottom w:val="nil"/>
              <w:right w:val="nil"/>
            </w:tcBorders>
            <w:noWrap w:val="0"/>
            <w:vAlign w:val="center"/>
          </w:tcPr>
          <w:p w14:paraId="27E8BA39">
            <w:pPr>
              <w:widowControl/>
              <w:jc w:val="left"/>
              <w:rPr>
                <w:rFonts w:ascii="宋体" w:hAnsi="宋体" w:cs="宋体"/>
                <w:color w:val="000000"/>
                <w:kern w:val="0"/>
                <w:sz w:val="17"/>
                <w:szCs w:val="17"/>
                <w:highlight w:val="none"/>
              </w:rPr>
            </w:pPr>
          </w:p>
        </w:tc>
      </w:tr>
      <w:tr w14:paraId="06884D92">
        <w:tblPrEx>
          <w:tblCellMar>
            <w:top w:w="0" w:type="dxa"/>
            <w:left w:w="0" w:type="dxa"/>
            <w:bottom w:w="0" w:type="dxa"/>
            <w:right w:w="0" w:type="dxa"/>
          </w:tblCellMar>
        </w:tblPrEx>
        <w:trPr>
          <w:trHeight w:val="347" w:hRule="atLeast"/>
        </w:trPr>
        <w:tc>
          <w:tcPr>
            <w:tcW w:w="142" w:type="dxa"/>
            <w:tcBorders>
              <w:top w:val="nil"/>
              <w:left w:val="nil"/>
              <w:bottom w:val="nil"/>
              <w:right w:val="nil"/>
            </w:tcBorders>
            <w:noWrap w:val="0"/>
            <w:vAlign w:val="center"/>
          </w:tcPr>
          <w:p w14:paraId="282640B8">
            <w:pPr>
              <w:widowControl/>
              <w:jc w:val="left"/>
              <w:rPr>
                <w:rFonts w:ascii="宋体" w:hAnsi="宋体" w:cs="宋体"/>
                <w:color w:val="000000"/>
                <w:kern w:val="0"/>
                <w:sz w:val="17"/>
                <w:szCs w:val="17"/>
                <w:highlight w:val="none"/>
              </w:rPr>
            </w:pPr>
          </w:p>
        </w:tc>
      </w:tr>
      <w:tr w14:paraId="223E36A1">
        <w:tblPrEx>
          <w:tblCellMar>
            <w:top w:w="0" w:type="dxa"/>
            <w:left w:w="0" w:type="dxa"/>
            <w:bottom w:w="0" w:type="dxa"/>
            <w:right w:w="0" w:type="dxa"/>
          </w:tblCellMar>
        </w:tblPrEx>
        <w:trPr>
          <w:trHeight w:val="415" w:hRule="atLeast"/>
        </w:trPr>
        <w:tc>
          <w:tcPr>
            <w:tcW w:w="142" w:type="dxa"/>
            <w:tcBorders>
              <w:top w:val="nil"/>
              <w:left w:val="nil"/>
              <w:bottom w:val="nil"/>
              <w:right w:val="nil"/>
            </w:tcBorders>
            <w:noWrap w:val="0"/>
            <w:vAlign w:val="center"/>
          </w:tcPr>
          <w:p w14:paraId="564DD147">
            <w:pPr>
              <w:widowControl/>
              <w:jc w:val="left"/>
              <w:rPr>
                <w:rFonts w:ascii="宋体" w:hAnsi="宋体" w:cs="宋体"/>
                <w:color w:val="000000"/>
                <w:kern w:val="0"/>
                <w:sz w:val="17"/>
                <w:szCs w:val="17"/>
                <w:highlight w:val="none"/>
              </w:rPr>
            </w:pPr>
          </w:p>
        </w:tc>
      </w:tr>
      <w:tr w14:paraId="17217910">
        <w:tblPrEx>
          <w:tblCellMar>
            <w:top w:w="0" w:type="dxa"/>
            <w:left w:w="0" w:type="dxa"/>
            <w:bottom w:w="0" w:type="dxa"/>
            <w:right w:w="0" w:type="dxa"/>
          </w:tblCellMar>
        </w:tblPrEx>
        <w:trPr>
          <w:trHeight w:val="345" w:hRule="atLeast"/>
        </w:trPr>
        <w:tc>
          <w:tcPr>
            <w:tcW w:w="142" w:type="dxa"/>
            <w:tcBorders>
              <w:top w:val="nil"/>
              <w:left w:val="nil"/>
              <w:bottom w:val="nil"/>
              <w:right w:val="nil"/>
            </w:tcBorders>
            <w:noWrap w:val="0"/>
            <w:vAlign w:val="center"/>
          </w:tcPr>
          <w:p w14:paraId="4136E3B3">
            <w:pPr>
              <w:widowControl/>
              <w:jc w:val="left"/>
              <w:rPr>
                <w:rFonts w:ascii="宋体" w:hAnsi="宋体" w:cs="宋体"/>
                <w:color w:val="000000"/>
                <w:kern w:val="0"/>
                <w:sz w:val="17"/>
                <w:szCs w:val="17"/>
                <w:highlight w:val="none"/>
              </w:rPr>
            </w:pPr>
          </w:p>
        </w:tc>
      </w:tr>
      <w:tr w14:paraId="20CB6C9D">
        <w:tblPrEx>
          <w:tblCellMar>
            <w:top w:w="0" w:type="dxa"/>
            <w:left w:w="0" w:type="dxa"/>
            <w:bottom w:w="0" w:type="dxa"/>
            <w:right w:w="0" w:type="dxa"/>
          </w:tblCellMar>
        </w:tblPrEx>
        <w:trPr>
          <w:trHeight w:val="395" w:hRule="atLeast"/>
        </w:trPr>
        <w:tc>
          <w:tcPr>
            <w:tcW w:w="142" w:type="dxa"/>
            <w:tcBorders>
              <w:top w:val="nil"/>
              <w:left w:val="nil"/>
              <w:bottom w:val="nil"/>
              <w:right w:val="nil"/>
            </w:tcBorders>
            <w:noWrap w:val="0"/>
            <w:vAlign w:val="center"/>
          </w:tcPr>
          <w:p w14:paraId="2EF95140">
            <w:pPr>
              <w:widowControl/>
              <w:jc w:val="left"/>
              <w:rPr>
                <w:rFonts w:ascii="宋体" w:hAnsi="宋体" w:cs="宋体"/>
                <w:color w:val="000000"/>
                <w:kern w:val="0"/>
                <w:sz w:val="17"/>
                <w:szCs w:val="17"/>
                <w:highlight w:val="none"/>
              </w:rPr>
            </w:pPr>
          </w:p>
        </w:tc>
      </w:tr>
      <w:tr w14:paraId="7A79939F">
        <w:tblPrEx>
          <w:tblCellMar>
            <w:top w:w="0" w:type="dxa"/>
            <w:left w:w="0" w:type="dxa"/>
            <w:bottom w:w="0" w:type="dxa"/>
            <w:right w:w="0" w:type="dxa"/>
          </w:tblCellMar>
        </w:tblPrEx>
        <w:trPr>
          <w:trHeight w:val="358" w:hRule="atLeast"/>
        </w:trPr>
        <w:tc>
          <w:tcPr>
            <w:tcW w:w="142" w:type="dxa"/>
            <w:tcBorders>
              <w:top w:val="nil"/>
              <w:left w:val="nil"/>
              <w:bottom w:val="nil"/>
              <w:right w:val="nil"/>
            </w:tcBorders>
            <w:noWrap w:val="0"/>
            <w:vAlign w:val="center"/>
          </w:tcPr>
          <w:p w14:paraId="096ED8A3">
            <w:pPr>
              <w:widowControl/>
              <w:jc w:val="left"/>
              <w:rPr>
                <w:rFonts w:ascii="宋体" w:hAnsi="宋体" w:cs="宋体"/>
                <w:color w:val="000000"/>
                <w:kern w:val="0"/>
                <w:sz w:val="17"/>
                <w:szCs w:val="17"/>
                <w:highlight w:val="none"/>
              </w:rPr>
            </w:pPr>
          </w:p>
        </w:tc>
      </w:tr>
      <w:tr w14:paraId="58146B13">
        <w:tblPrEx>
          <w:tblCellMar>
            <w:top w:w="0" w:type="dxa"/>
            <w:left w:w="0" w:type="dxa"/>
            <w:bottom w:w="0" w:type="dxa"/>
            <w:right w:w="0" w:type="dxa"/>
          </w:tblCellMar>
        </w:tblPrEx>
        <w:trPr>
          <w:trHeight w:val="563" w:hRule="atLeast"/>
        </w:trPr>
        <w:tc>
          <w:tcPr>
            <w:tcW w:w="142" w:type="dxa"/>
            <w:tcBorders>
              <w:top w:val="nil"/>
              <w:left w:val="nil"/>
              <w:bottom w:val="nil"/>
              <w:right w:val="nil"/>
            </w:tcBorders>
            <w:noWrap w:val="0"/>
            <w:vAlign w:val="center"/>
          </w:tcPr>
          <w:p w14:paraId="3A3A3118">
            <w:pPr>
              <w:widowControl/>
              <w:jc w:val="left"/>
              <w:rPr>
                <w:rFonts w:ascii="宋体" w:hAnsi="宋体" w:cs="宋体"/>
                <w:color w:val="000000"/>
                <w:kern w:val="0"/>
                <w:sz w:val="17"/>
                <w:szCs w:val="17"/>
                <w:highlight w:val="none"/>
              </w:rPr>
            </w:pPr>
          </w:p>
        </w:tc>
      </w:tr>
      <w:tr w14:paraId="189DA081">
        <w:tblPrEx>
          <w:tblCellMar>
            <w:top w:w="0" w:type="dxa"/>
            <w:left w:w="0" w:type="dxa"/>
            <w:bottom w:w="0" w:type="dxa"/>
            <w:right w:w="0" w:type="dxa"/>
          </w:tblCellMar>
        </w:tblPrEx>
        <w:trPr>
          <w:trHeight w:val="495" w:hRule="atLeast"/>
        </w:trPr>
        <w:tc>
          <w:tcPr>
            <w:tcW w:w="142" w:type="dxa"/>
            <w:noWrap w:val="0"/>
            <w:vAlign w:val="center"/>
          </w:tcPr>
          <w:p w14:paraId="5E968895">
            <w:pPr>
              <w:widowControl/>
              <w:jc w:val="left"/>
              <w:rPr>
                <w:rFonts w:ascii="Times New Roman" w:hAnsi="Times New Roman" w:eastAsia="Times New Roman"/>
                <w:kern w:val="0"/>
                <w:sz w:val="20"/>
                <w:szCs w:val="20"/>
                <w:highlight w:val="none"/>
              </w:rPr>
            </w:pPr>
          </w:p>
        </w:tc>
      </w:tr>
    </w:tbl>
    <w:p w14:paraId="6A82D68C">
      <w:pPr>
        <w:spacing w:line="600" w:lineRule="exact"/>
        <w:ind w:firstLine="600" w:firstLineChars="200"/>
        <w:outlineLvl w:val="1"/>
        <w:rPr>
          <w:rFonts w:hint="eastAsia" w:ascii="黑体" w:hAnsi="黑体" w:eastAsia="黑体"/>
          <w:sz w:val="30"/>
          <w:szCs w:val="30"/>
          <w:highlight w:val="none"/>
          <w:lang w:val="en-US" w:eastAsia="zh-CN"/>
        </w:rPr>
      </w:pPr>
      <w:r>
        <w:rPr>
          <w:rFonts w:hint="eastAsia" w:ascii="黑体" w:hAnsi="黑体" w:eastAsia="黑体"/>
          <w:sz w:val="30"/>
          <w:szCs w:val="30"/>
          <w:highlight w:val="none"/>
          <w:lang w:val="en-US" w:eastAsia="zh-CN"/>
        </w:rPr>
        <w:t>三、政府采购支出情况</w:t>
      </w:r>
    </w:p>
    <w:p w14:paraId="56C1F9D1">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2024年度，单位政府采购支出总额</w:t>
      </w:r>
      <w:r>
        <w:rPr>
          <w:rFonts w:hint="eastAsia" w:ascii="仿宋" w:hAnsi="仿宋" w:eastAsia="仿宋" w:cs="仿宋"/>
          <w:kern w:val="2"/>
          <w:sz w:val="30"/>
          <w:szCs w:val="30"/>
          <w:highlight w:val="none"/>
          <w:lang w:val="zh-CN" w:eastAsia="zh-CN" w:bidi="ar-SA"/>
        </w:rPr>
        <w:t>45</w:t>
      </w:r>
      <w:r>
        <w:rPr>
          <w:rFonts w:hint="eastAsia" w:ascii="仿宋" w:hAnsi="仿宋" w:eastAsia="仿宋" w:cs="仿宋"/>
          <w:kern w:val="2"/>
          <w:sz w:val="30"/>
          <w:szCs w:val="30"/>
          <w:highlight w:val="none"/>
          <w:lang w:val="en-US" w:eastAsia="zh-CN" w:bidi="ar-SA"/>
        </w:rPr>
        <w:t>,</w:t>
      </w:r>
      <w:r>
        <w:rPr>
          <w:rFonts w:hint="eastAsia" w:ascii="仿宋" w:hAnsi="仿宋" w:eastAsia="仿宋" w:cs="仿宋"/>
          <w:kern w:val="2"/>
          <w:sz w:val="30"/>
          <w:szCs w:val="30"/>
          <w:highlight w:val="none"/>
          <w:lang w:val="zh-CN" w:eastAsia="zh-CN" w:bidi="ar-SA"/>
        </w:rPr>
        <w:t>690.00</w:t>
      </w:r>
      <w:r>
        <w:rPr>
          <w:rFonts w:hint="eastAsia" w:ascii="仿宋" w:hAnsi="仿宋" w:eastAsia="仿宋" w:cs="仿宋"/>
          <w:kern w:val="2"/>
          <w:sz w:val="30"/>
          <w:szCs w:val="30"/>
          <w:highlight w:val="none"/>
          <w:lang w:val="en-US" w:eastAsia="zh-CN" w:bidi="ar-SA"/>
        </w:rPr>
        <w:t>元，其中：政府采购货物支出</w:t>
      </w:r>
      <w:r>
        <w:rPr>
          <w:rFonts w:hint="eastAsia" w:ascii="仿宋" w:hAnsi="仿宋" w:eastAsia="仿宋" w:cs="仿宋"/>
          <w:kern w:val="2"/>
          <w:sz w:val="30"/>
          <w:szCs w:val="30"/>
          <w:highlight w:val="none"/>
          <w:lang w:val="zh-CN" w:eastAsia="zh-CN" w:bidi="ar-SA"/>
        </w:rPr>
        <w:t>45</w:t>
      </w:r>
      <w:r>
        <w:rPr>
          <w:rFonts w:hint="eastAsia" w:ascii="仿宋" w:hAnsi="仿宋" w:eastAsia="仿宋" w:cs="仿宋"/>
          <w:kern w:val="2"/>
          <w:sz w:val="30"/>
          <w:szCs w:val="30"/>
          <w:highlight w:val="none"/>
          <w:lang w:val="en-US" w:eastAsia="zh-CN" w:bidi="ar-SA"/>
        </w:rPr>
        <w:t>,</w:t>
      </w:r>
      <w:r>
        <w:rPr>
          <w:rFonts w:hint="eastAsia" w:ascii="仿宋" w:hAnsi="仿宋" w:eastAsia="仿宋" w:cs="仿宋"/>
          <w:kern w:val="2"/>
          <w:sz w:val="30"/>
          <w:szCs w:val="30"/>
          <w:highlight w:val="none"/>
          <w:lang w:val="zh-CN" w:eastAsia="zh-CN" w:bidi="ar-SA"/>
        </w:rPr>
        <w:t>690.00</w:t>
      </w:r>
      <w:r>
        <w:rPr>
          <w:rFonts w:hint="eastAsia" w:ascii="仿宋" w:hAnsi="仿宋" w:eastAsia="仿宋" w:cs="仿宋"/>
          <w:kern w:val="2"/>
          <w:sz w:val="30"/>
          <w:szCs w:val="30"/>
          <w:highlight w:val="none"/>
          <w:lang w:val="en-US" w:eastAsia="zh-CN" w:bidi="ar-SA"/>
        </w:rPr>
        <w:t>元；政府采购工程支出</w:t>
      </w:r>
      <w:r>
        <w:rPr>
          <w:rFonts w:hint="eastAsia" w:ascii="仿宋" w:hAnsi="仿宋" w:eastAsia="仿宋" w:cs="仿宋"/>
          <w:kern w:val="2"/>
          <w:sz w:val="30"/>
          <w:szCs w:val="30"/>
          <w:highlight w:val="none"/>
          <w:lang w:val="zh-CN" w:eastAsia="zh-CN" w:bidi="ar-SA"/>
        </w:rPr>
        <w:t>0.00</w:t>
      </w:r>
      <w:r>
        <w:rPr>
          <w:rFonts w:hint="eastAsia" w:ascii="仿宋" w:hAnsi="仿宋" w:eastAsia="仿宋" w:cs="仿宋"/>
          <w:kern w:val="2"/>
          <w:sz w:val="30"/>
          <w:szCs w:val="30"/>
          <w:highlight w:val="none"/>
          <w:lang w:val="en-US" w:eastAsia="zh-CN" w:bidi="ar-SA"/>
        </w:rPr>
        <w:t>元；政府采购服务支出</w:t>
      </w:r>
      <w:r>
        <w:rPr>
          <w:rFonts w:hint="eastAsia" w:ascii="仿宋" w:hAnsi="仿宋" w:eastAsia="仿宋" w:cs="仿宋"/>
          <w:kern w:val="2"/>
          <w:sz w:val="30"/>
          <w:szCs w:val="30"/>
          <w:highlight w:val="none"/>
          <w:lang w:val="zh-CN" w:eastAsia="zh-CN" w:bidi="ar-SA"/>
        </w:rPr>
        <w:t>0.00</w:t>
      </w:r>
      <w:r>
        <w:rPr>
          <w:rFonts w:hint="eastAsia" w:ascii="仿宋" w:hAnsi="仿宋" w:eastAsia="仿宋" w:cs="仿宋"/>
          <w:kern w:val="2"/>
          <w:sz w:val="30"/>
          <w:szCs w:val="30"/>
          <w:highlight w:val="none"/>
          <w:lang w:val="en-US" w:eastAsia="zh-CN" w:bidi="ar-SA"/>
        </w:rPr>
        <w:t>元。授予中小企业合同金额</w:t>
      </w:r>
      <w:r>
        <w:rPr>
          <w:rFonts w:hint="eastAsia" w:ascii="仿宋" w:hAnsi="仿宋" w:eastAsia="仿宋" w:cs="仿宋"/>
          <w:kern w:val="2"/>
          <w:sz w:val="30"/>
          <w:szCs w:val="30"/>
          <w:highlight w:val="none"/>
          <w:lang w:val="zh-CN" w:eastAsia="zh-CN" w:bidi="ar-SA"/>
        </w:rPr>
        <w:t>45</w:t>
      </w:r>
      <w:r>
        <w:rPr>
          <w:rFonts w:hint="eastAsia" w:ascii="仿宋" w:hAnsi="仿宋" w:eastAsia="仿宋" w:cs="仿宋"/>
          <w:kern w:val="2"/>
          <w:sz w:val="30"/>
          <w:szCs w:val="30"/>
          <w:highlight w:val="none"/>
          <w:lang w:val="en-US" w:eastAsia="zh-CN" w:bidi="ar-SA"/>
        </w:rPr>
        <w:t>,</w:t>
      </w:r>
      <w:r>
        <w:rPr>
          <w:rFonts w:hint="eastAsia" w:ascii="仿宋" w:hAnsi="仿宋" w:eastAsia="仿宋" w:cs="仿宋"/>
          <w:kern w:val="2"/>
          <w:sz w:val="30"/>
          <w:szCs w:val="30"/>
          <w:highlight w:val="none"/>
          <w:lang w:val="zh-CN" w:eastAsia="zh-CN" w:bidi="ar-SA"/>
        </w:rPr>
        <w:t>690.00</w:t>
      </w:r>
      <w:r>
        <w:rPr>
          <w:rFonts w:hint="eastAsia" w:ascii="仿宋" w:hAnsi="仿宋" w:eastAsia="仿宋" w:cs="仿宋"/>
          <w:kern w:val="2"/>
          <w:sz w:val="30"/>
          <w:szCs w:val="30"/>
          <w:highlight w:val="none"/>
          <w:lang w:val="en-US" w:eastAsia="zh-CN" w:bidi="ar-SA"/>
        </w:rPr>
        <w:t>元，其中：授予小微企业合同金额</w:t>
      </w:r>
      <w:r>
        <w:rPr>
          <w:rFonts w:hint="eastAsia" w:ascii="仿宋" w:hAnsi="仿宋" w:eastAsia="仿宋" w:cs="仿宋"/>
          <w:kern w:val="2"/>
          <w:sz w:val="30"/>
          <w:szCs w:val="30"/>
          <w:highlight w:val="none"/>
          <w:lang w:val="zh-CN" w:eastAsia="zh-CN" w:bidi="ar-SA"/>
        </w:rPr>
        <w:t>45</w:t>
      </w:r>
      <w:r>
        <w:rPr>
          <w:rFonts w:hint="eastAsia" w:ascii="仿宋" w:hAnsi="仿宋" w:eastAsia="仿宋" w:cs="仿宋"/>
          <w:kern w:val="2"/>
          <w:sz w:val="30"/>
          <w:szCs w:val="30"/>
          <w:highlight w:val="none"/>
          <w:lang w:val="en-US" w:eastAsia="zh-CN" w:bidi="ar-SA"/>
        </w:rPr>
        <w:t>,</w:t>
      </w:r>
      <w:r>
        <w:rPr>
          <w:rFonts w:hint="eastAsia" w:ascii="仿宋" w:hAnsi="仿宋" w:eastAsia="仿宋" w:cs="仿宋"/>
          <w:kern w:val="2"/>
          <w:sz w:val="30"/>
          <w:szCs w:val="30"/>
          <w:highlight w:val="none"/>
          <w:lang w:val="zh-CN" w:eastAsia="zh-CN" w:bidi="ar-SA"/>
        </w:rPr>
        <w:t>690.00</w:t>
      </w:r>
      <w:r>
        <w:rPr>
          <w:rFonts w:hint="eastAsia" w:ascii="仿宋" w:hAnsi="仿宋" w:eastAsia="仿宋" w:cs="仿宋"/>
          <w:kern w:val="2"/>
          <w:sz w:val="30"/>
          <w:szCs w:val="30"/>
          <w:highlight w:val="none"/>
          <w:lang w:val="en-US" w:eastAsia="zh-CN" w:bidi="ar-SA"/>
        </w:rPr>
        <w:t>元。</w:t>
      </w:r>
    </w:p>
    <w:p w14:paraId="5981A2D9">
      <w:pPr>
        <w:spacing w:line="600" w:lineRule="exact"/>
        <w:ind w:firstLine="600" w:firstLineChars="200"/>
        <w:outlineLvl w:val="1"/>
        <w:rPr>
          <w:rFonts w:hint="eastAsia" w:ascii="黑体" w:hAnsi="黑体" w:eastAsia="黑体"/>
          <w:sz w:val="30"/>
          <w:szCs w:val="30"/>
          <w:highlight w:val="none"/>
          <w:lang w:val="en-US" w:eastAsia="zh-CN"/>
        </w:rPr>
      </w:pPr>
      <w:r>
        <w:rPr>
          <w:rFonts w:hint="eastAsia" w:ascii="黑体" w:hAnsi="黑体" w:eastAsia="黑体"/>
          <w:sz w:val="30"/>
          <w:szCs w:val="30"/>
          <w:highlight w:val="none"/>
          <w:lang w:val="en-US" w:eastAsia="zh-CN"/>
        </w:rPr>
        <w:t>四、单位绩效自评情况</w:t>
      </w:r>
    </w:p>
    <w:p w14:paraId="7F847798">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单位绩效自评情况详见附表。</w:t>
      </w:r>
    </w:p>
    <w:p w14:paraId="648BE13D">
      <w:pPr>
        <w:spacing w:line="600" w:lineRule="exact"/>
        <w:ind w:firstLine="600" w:firstLineChars="200"/>
        <w:outlineLvl w:val="1"/>
        <w:rPr>
          <w:rFonts w:hint="eastAsia" w:ascii="黑体" w:hAnsi="黑体" w:eastAsia="黑体"/>
          <w:sz w:val="30"/>
          <w:szCs w:val="30"/>
          <w:highlight w:val="none"/>
          <w:lang w:val="en-US" w:eastAsia="zh-CN"/>
        </w:rPr>
      </w:pPr>
      <w:r>
        <w:rPr>
          <w:rFonts w:hint="eastAsia" w:ascii="黑体" w:hAnsi="黑体" w:eastAsia="黑体"/>
          <w:sz w:val="30"/>
          <w:szCs w:val="30"/>
          <w:highlight w:val="none"/>
          <w:lang w:val="en-US" w:eastAsia="zh-CN"/>
        </w:rPr>
        <w:t>五、其他重要事项情况说明</w:t>
      </w:r>
    </w:p>
    <w:p w14:paraId="7F509C5B">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华宁县幼儿园无其他重要事项情况说明。</w:t>
      </w:r>
    </w:p>
    <w:p w14:paraId="601335D4">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黑体" w:hAnsi="黑体" w:eastAsia="黑体"/>
          <w:sz w:val="30"/>
          <w:szCs w:val="30"/>
          <w:highlight w:val="none"/>
          <w:lang w:val="en-US" w:eastAsia="zh-CN"/>
        </w:rPr>
      </w:pPr>
      <w:bookmarkStart w:id="0" w:name="_GoBack"/>
      <w:bookmarkEnd w:id="0"/>
      <w:r>
        <w:rPr>
          <w:rFonts w:hint="eastAsia" w:ascii="黑体" w:hAnsi="黑体" w:eastAsia="黑体"/>
          <w:sz w:val="30"/>
          <w:szCs w:val="30"/>
          <w:highlight w:val="none"/>
          <w:lang w:val="en-US" w:eastAsia="zh-CN"/>
        </w:rPr>
        <w:t>六、相关口径说明</w:t>
      </w:r>
    </w:p>
    <w:p w14:paraId="337CA338">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（一）基本支出中人员经费包括工资福利支出和对个人和家庭的补助，公用经费包括商品和服务支出、资本性支出等人员经费以外的支出。</w:t>
      </w:r>
    </w:p>
    <w:p w14:paraId="4F63C415">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（二）机关运行经费指行政单位和参照公务员法管理的事业单位使用一般公共预算财政拨款安排的基本支出中的公用经费支出。</w:t>
      </w:r>
    </w:p>
    <w:p w14:paraId="415B2DEB">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548474DC">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14:paraId="708EFAA6">
      <w:pPr>
        <w:jc w:val="center"/>
        <w:outlineLvl w:val="0"/>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14:paraId="18BD815C">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1003433B">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政府采购：是指各级国家机关、事业单位和团体组织，使用财政性资金采购依法制定的集中采购目录以内的或者采购限额标准以上的货物、工程和服务的行为。</w:t>
      </w:r>
    </w:p>
    <w:p w14:paraId="55EAD1F1">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r>
        <w:rPr>
          <w:rFonts w:hint="eastAsia" w:ascii="仿宋" w:hAnsi="仿宋" w:eastAsia="仿宋" w:cs="仿宋"/>
          <w:kern w:val="2"/>
          <w:sz w:val="30"/>
          <w:szCs w:val="30"/>
          <w:highlight w:val="none"/>
          <w:lang w:val="en-US" w:eastAsia="zh-CN" w:bidi="ar-SA"/>
        </w:rPr>
        <w:cr/>
      </w:r>
      <w:r>
        <w:rPr>
          <w:rFonts w:hint="eastAsia" w:ascii="仿宋" w:hAnsi="仿宋" w:eastAsia="仿宋" w:cs="仿宋"/>
          <w:kern w:val="2"/>
          <w:sz w:val="30"/>
          <w:szCs w:val="30"/>
          <w:highlight w:val="none"/>
          <w:lang w:val="en-US" w:eastAsia="zh-CN" w:bidi="ar-SA"/>
        </w:rPr>
        <w:t xml:space="preserve">    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14:paraId="77BEEC75">
      <w:pPr>
        <w:rPr>
          <w:rFonts w:hint="eastAsia" w:ascii="黑体" w:hAnsi="黑体" w:eastAsia="黑体" w:cs="黑体"/>
          <w:b/>
          <w:sz w:val="36"/>
        </w:rPr>
      </w:pPr>
      <w:r>
        <w:rPr>
          <w:rFonts w:hint="eastAsia" w:ascii="黑体" w:hAnsi="黑体" w:eastAsia="黑体" w:cs="黑体"/>
          <w:b/>
          <w:sz w:val="36"/>
        </w:rPr>
        <w:t>监督索引号53042400136001401111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D102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DECC6B4">
                          <w:pPr>
                            <w:pStyle w:val="4"/>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3DECC6B4">
                    <w:pPr>
                      <w:pStyle w:val="4"/>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4EBC3">
    <w:pPr>
      <w:pStyle w:val="4"/>
      <w:framePr w:wrap="around" w:vAnchor="text" w:hAnchor="margin" w:xAlign="center" w:y="1"/>
      <w:rPr>
        <w:rStyle w:val="9"/>
      </w:rPr>
    </w:pPr>
    <w:r>
      <w:rPr>
        <w:rStyle w:val="9"/>
      </w:rPr>
      <w:fldChar w:fldCharType="begin"/>
    </w:r>
    <w:r>
      <w:rPr>
        <w:rStyle w:val="9"/>
      </w:rPr>
      <w:instrText xml:space="preserve">PAGE  </w:instrText>
    </w:r>
    <w:r>
      <w:fldChar w:fldCharType="separate"/>
    </w:r>
    <w:r>
      <w:fldChar w:fldCharType="end"/>
    </w:r>
  </w:p>
  <w:p w14:paraId="537BA4E3">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AB7A">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C26139"/>
    <w:rsid w:val="1FA111B7"/>
    <w:rsid w:val="49F46128"/>
    <w:rsid w:val="5D613E06"/>
    <w:rsid w:val="6E175D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93" w:beforeLines="30"/>
    </w:pPr>
    <w:rPr>
      <w:rFonts w:ascii="仿宋_GB2312" w:eastAsia="仿宋_GB2312"/>
      <w:sz w:val="30"/>
    </w:rPr>
  </w:style>
  <w:style w:type="paragraph" w:styleId="3">
    <w:name w:val="toc 5"/>
    <w:basedOn w:val="1"/>
    <w:next w:val="1"/>
    <w:qFormat/>
    <w:uiPriority w:val="0"/>
    <w:pPr>
      <w:spacing w:before="0" w:beforeAutospacing="0" w:after="0" w:afterAutospacing="0"/>
      <w:ind w:left="1680" w:leftChars="800" w:right="0"/>
      <w:jc w:val="left"/>
    </w:pPr>
    <w:rPr>
      <w:rFonts w:hint="eastAsia" w:ascii="宋体" w:hAnsi="宋体" w:eastAsia="宋体" w:cs="宋体"/>
      <w:kern w:val="0"/>
      <w:sz w:val="24"/>
      <w:szCs w:val="24"/>
      <w:lang w:val="en-US" w:eastAsia="zh-CN" w:bidi="ar"/>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a2884-d737-45f9-810b-07f83ecdfa47}">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17</Pages>
  <Words>6591</Words>
  <Characters>7796</Characters>
  <Lines>0</Lines>
  <Paragraphs>0</Paragraphs>
  <TotalTime>42</TotalTime>
  <ScaleCrop>false</ScaleCrop>
  <LinksUpToDate>false</LinksUpToDate>
  <CharactersWithSpaces>7822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李瑞婷_x0028_拟稿_x0029_</dc:creator>
  <cp:lastModifiedBy>月亮</cp:lastModifiedBy>
  <cp:lastPrinted>2024-07-30T06:24:00Z</cp:lastPrinted>
  <dcterms:modified xsi:type="dcterms:W3CDTF">2025-09-28T03:37:58Z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2EB64EC6D5EC435F985CD32B230FA31A_13</vt:lpwstr>
  </property>
  <property fmtid="{D5CDD505-2E9C-101B-9397-08002B2CF9AE}" pid="3" name="KSOProductBuildVer">
    <vt:lpwstr>2052-12.1.0.22529</vt:lpwstr>
  </property>
  <property fmtid="{D5CDD505-2E9C-101B-9397-08002B2CF9AE}" pid="4" name="KSOTemplateDocerSaveRecord">
    <vt:lpwstr>eyJoZGlkIjoiN2Y1NmQzODI5NjU2ZTk2ODY1ZTIwNTlkZWQ4ZGZhZjgiLCJ1c2VySWQiOiIyNTU5NDcwMDAifQ==</vt:lpwstr>
  </property>
</Properties>
</file>