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764B3">
      <w:pPr>
        <w:keepNext w:val="0"/>
        <w:keepLines w:val="0"/>
        <w:pageBreakBefore w:val="0"/>
        <w:kinsoku/>
        <w:overflowPunct/>
        <w:topLinePunct w:val="0"/>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监督索引号53042400347700301000</w:t>
      </w:r>
    </w:p>
    <w:p w14:paraId="7C722CD6">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lang w:val="zh-CN"/>
        </w:rPr>
      </w:pPr>
    </w:p>
    <w:p w14:paraId="1B6429F0">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华宁县工业商贸和科技信息局（本级）</w:t>
      </w:r>
    </w:p>
    <w:p w14:paraId="63134DBA">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highlight w:val="none"/>
        </w:rPr>
      </w:pPr>
      <w:r>
        <w:rPr>
          <w:rFonts w:hint="default" w:ascii="Times New Roman" w:hAnsi="Times New Roman" w:eastAsia="方正小标宋_GBK" w:cs="Times New Roman"/>
          <w:sz w:val="44"/>
          <w:szCs w:val="44"/>
          <w:highlight w:val="none"/>
          <w:lang w:val="en-US" w:eastAsia="zh-CN"/>
        </w:rPr>
        <w:t>2024</w:t>
      </w:r>
      <w:r>
        <w:rPr>
          <w:rFonts w:hint="eastAsia" w:ascii="方正小标宋_GBK" w:hAnsi="方正小标宋_GBK" w:eastAsia="方正小标宋_GBK" w:cs="方正小标宋_GBK"/>
          <w:sz w:val="44"/>
          <w:szCs w:val="44"/>
          <w:highlight w:val="none"/>
        </w:rPr>
        <w:t>年度部门决算</w:t>
      </w:r>
    </w:p>
    <w:p w14:paraId="2902A9C0">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highlight w:val="none"/>
          <w:lang w:eastAsia="zh-CN"/>
        </w:rPr>
      </w:pPr>
    </w:p>
    <w:p w14:paraId="1C89EFA5">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目录</w:t>
      </w:r>
    </w:p>
    <w:p w14:paraId="1C3F46A7">
      <w:pPr>
        <w:keepNext w:val="0"/>
        <w:keepLines w:val="0"/>
        <w:pageBreakBefore w:val="0"/>
        <w:kinsoku/>
        <w:overflowPunct/>
        <w:topLinePunct w:val="0"/>
        <w:autoSpaceDE/>
        <w:autoSpaceDN/>
        <w:bidi w:val="0"/>
        <w:spacing w:line="590" w:lineRule="exact"/>
        <w:jc w:val="left"/>
        <w:textAlignment w:val="auto"/>
        <w:rPr>
          <w:rFonts w:hint="eastAsia" w:ascii="黑体" w:hAnsi="黑体" w:eastAsia="黑体"/>
          <w:sz w:val="30"/>
          <w:szCs w:val="30"/>
          <w:highlight w:val="none"/>
        </w:rPr>
      </w:pPr>
    </w:p>
    <w:p w14:paraId="22B2BE0B">
      <w:pPr>
        <w:keepNext w:val="0"/>
        <w:keepLines w:val="0"/>
        <w:pageBreakBefore w:val="0"/>
        <w:kinsoku/>
        <w:overflowPunct/>
        <w:topLinePunct w:val="0"/>
        <w:autoSpaceDE/>
        <w:autoSpaceDN/>
        <w:bidi w:val="0"/>
        <w:spacing w:line="590" w:lineRule="exact"/>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第一部分  </w:t>
      </w:r>
      <w:r>
        <w:rPr>
          <w:rFonts w:hint="eastAsia" w:ascii="方正黑体_GBK" w:hAnsi="方正黑体_GBK" w:eastAsia="方正黑体_GBK" w:cs="方正黑体_GBK"/>
          <w:sz w:val="32"/>
          <w:szCs w:val="32"/>
          <w:highlight w:val="none"/>
          <w:lang w:eastAsia="zh-CN"/>
        </w:rPr>
        <w:t>单位</w:t>
      </w:r>
      <w:r>
        <w:rPr>
          <w:rFonts w:hint="eastAsia" w:ascii="方正黑体_GBK" w:hAnsi="方正黑体_GBK" w:eastAsia="方正黑体_GBK" w:cs="方正黑体_GBK"/>
          <w:sz w:val="32"/>
          <w:szCs w:val="32"/>
          <w:highlight w:val="none"/>
        </w:rPr>
        <w:t>概况</w:t>
      </w:r>
    </w:p>
    <w:p w14:paraId="3E78C9C0">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一、主要职</w:t>
      </w:r>
      <w:r>
        <w:rPr>
          <w:rFonts w:hint="eastAsia" w:ascii="方正楷体_GBK" w:hAnsi="方正楷体_GBK" w:eastAsia="方正楷体_GBK" w:cs="方正楷体_GBK"/>
          <w:sz w:val="32"/>
          <w:szCs w:val="32"/>
          <w:highlight w:val="none"/>
          <w:lang w:eastAsia="zh-CN"/>
        </w:rPr>
        <w:t>责</w:t>
      </w:r>
    </w:p>
    <w:p w14:paraId="1AB70058">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二、</w:t>
      </w:r>
      <w:r>
        <w:rPr>
          <w:rFonts w:hint="eastAsia" w:ascii="方正楷体_GBK" w:hAnsi="方正楷体_GBK" w:eastAsia="方正楷体_GBK" w:cs="方正楷体_GBK"/>
          <w:sz w:val="32"/>
          <w:szCs w:val="32"/>
          <w:highlight w:val="none"/>
          <w:lang w:eastAsia="zh-CN"/>
        </w:rPr>
        <w:t>基本情况</w:t>
      </w:r>
    </w:p>
    <w:p w14:paraId="28241E44">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三、重点工作概述</w:t>
      </w:r>
    </w:p>
    <w:p w14:paraId="6D0131C9">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 xml:space="preserve">第二部分  </w:t>
      </w:r>
      <w:r>
        <w:rPr>
          <w:rFonts w:hint="default" w:ascii="Times New Roman" w:hAnsi="Times New Roman" w:eastAsia="方正黑体_GBK" w:cs="Times New Roman"/>
          <w:sz w:val="32"/>
          <w:szCs w:val="32"/>
          <w:highlight w:val="none"/>
          <w:lang w:val="en-US" w:eastAsia="zh-CN"/>
        </w:rPr>
        <w:t>2024</w:t>
      </w:r>
      <w:r>
        <w:rPr>
          <w:rFonts w:hint="default" w:ascii="Times New Roman" w:hAnsi="Times New Roman" w:eastAsia="方正黑体_GBK" w:cs="Times New Roman"/>
          <w:sz w:val="32"/>
          <w:szCs w:val="32"/>
          <w:highlight w:val="none"/>
        </w:rPr>
        <w:t>年度部门决算表</w:t>
      </w:r>
    </w:p>
    <w:p w14:paraId="3CFACB63">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rPr>
        <w:t>收入支出决算表</w:t>
      </w:r>
    </w:p>
    <w:p w14:paraId="0D5DE5A9">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二、收入决算表</w:t>
      </w:r>
    </w:p>
    <w:p w14:paraId="756C4902">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三、支出决算表</w:t>
      </w:r>
    </w:p>
    <w:p w14:paraId="2BBAC81C">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四、财政拨款收入支出决算表</w:t>
      </w:r>
    </w:p>
    <w:p w14:paraId="7C118FDD">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五、一般公共预算财政拨款收入支出决算表</w:t>
      </w:r>
    </w:p>
    <w:p w14:paraId="5D8C3F91">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六、一般公共预算财政拨款基本支出决算表</w:t>
      </w:r>
    </w:p>
    <w:p w14:paraId="44EADE20">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七、</w:t>
      </w:r>
      <w:r>
        <w:rPr>
          <w:rFonts w:hint="eastAsia" w:ascii="方正楷体_GBK" w:hAnsi="方正楷体_GBK" w:eastAsia="方正楷体_GBK" w:cs="方正楷体_GBK"/>
          <w:sz w:val="32"/>
          <w:szCs w:val="32"/>
          <w:highlight w:val="none"/>
          <w:lang w:eastAsia="zh-CN"/>
        </w:rPr>
        <w:t>一般公共预算财政拨款项目支出决算表</w:t>
      </w:r>
    </w:p>
    <w:p w14:paraId="110852FD">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八</w:t>
      </w:r>
      <w:r>
        <w:rPr>
          <w:rFonts w:hint="eastAsia" w:ascii="方正楷体_GBK" w:hAnsi="方正楷体_GBK" w:eastAsia="方正楷体_GBK" w:cs="方正楷体_GBK"/>
          <w:sz w:val="32"/>
          <w:szCs w:val="32"/>
          <w:highlight w:val="none"/>
        </w:rPr>
        <w:t>、政府性基金预算财政拨款收入支出决算表</w:t>
      </w:r>
    </w:p>
    <w:p w14:paraId="0C224960">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九、国有资本经营预算财政拨款收入支出决算表</w:t>
      </w:r>
    </w:p>
    <w:p w14:paraId="246114F8">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十</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财政拨款</w:t>
      </w:r>
      <w:r>
        <w:rPr>
          <w:rFonts w:hint="eastAsia" w:ascii="方正楷体_GBK" w:hAnsi="方正楷体_GBK" w:eastAsia="方正楷体_GBK" w:cs="方正楷体_GBK"/>
          <w:sz w:val="32"/>
          <w:szCs w:val="32"/>
          <w:highlight w:val="none"/>
        </w:rPr>
        <w:t>“三公”经费、行政参公单位机关运行经费情况表</w:t>
      </w:r>
    </w:p>
    <w:p w14:paraId="297BAD71">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十一、一般公共预算财政拨款“三公”经费情况表</w:t>
      </w:r>
    </w:p>
    <w:p w14:paraId="63E0592A">
      <w:pPr>
        <w:keepNext w:val="0"/>
        <w:keepLines w:val="0"/>
        <w:pageBreakBefore w:val="0"/>
        <w:kinsoku/>
        <w:overflowPunct/>
        <w:topLinePunct w:val="0"/>
        <w:autoSpaceDE/>
        <w:autoSpaceDN/>
        <w:bidi w:val="0"/>
        <w:spacing w:line="590" w:lineRule="exact"/>
        <w:jc w:val="left"/>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第三部</w:t>
      </w:r>
      <w:r>
        <w:rPr>
          <w:rFonts w:hint="eastAsia" w:ascii="Times New Roman" w:hAnsi="Times New Roman" w:eastAsia="方正黑体_GBK" w:cs="Times New Roman"/>
          <w:sz w:val="32"/>
          <w:szCs w:val="32"/>
          <w:highlight w:val="none"/>
          <w:lang w:eastAsia="zh-CN"/>
        </w:rPr>
        <w:t>分</w:t>
      </w:r>
      <w:r>
        <w:rPr>
          <w:rFonts w:hint="eastAsia" w:ascii="Times New Roman" w:hAnsi="Times New Roman" w:eastAsia="方正黑体_GBK" w:cs="Times New Roman"/>
          <w:sz w:val="32"/>
          <w:szCs w:val="32"/>
          <w:highlight w:val="none"/>
        </w:rPr>
        <w:t xml:space="preserve">  </w:t>
      </w:r>
      <w:r>
        <w:rPr>
          <w:rFonts w:hint="eastAsia" w:ascii="Times New Roman" w:hAnsi="Times New Roman" w:eastAsia="方正黑体_GBK" w:cs="Times New Roman"/>
          <w:sz w:val="32"/>
          <w:szCs w:val="32"/>
          <w:highlight w:val="none"/>
          <w:lang w:val="en-US" w:eastAsia="zh-CN"/>
        </w:rPr>
        <w:t>2024</w:t>
      </w:r>
      <w:r>
        <w:rPr>
          <w:rFonts w:hint="eastAsia" w:ascii="Times New Roman" w:hAnsi="Times New Roman" w:eastAsia="方正黑体_GBK" w:cs="Times New Roman"/>
          <w:sz w:val="32"/>
          <w:szCs w:val="32"/>
          <w:highlight w:val="none"/>
        </w:rPr>
        <w:t>年度部门决算情况说明</w:t>
      </w:r>
    </w:p>
    <w:p w14:paraId="084FF588">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一、收入决算情况说明</w:t>
      </w:r>
    </w:p>
    <w:p w14:paraId="344958FD">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二、支出决算情况说明</w:t>
      </w:r>
    </w:p>
    <w:p w14:paraId="632F4A9A">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三、一般公共预算财政拨款支出决算情况说明</w:t>
      </w:r>
    </w:p>
    <w:p w14:paraId="5E17E45E">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四、财政拨款“三公”经费支出决算情况说明</w:t>
      </w:r>
    </w:p>
    <w:p w14:paraId="2C5EA16D">
      <w:pPr>
        <w:keepNext w:val="0"/>
        <w:keepLines w:val="0"/>
        <w:pageBreakBefore w:val="0"/>
        <w:kinsoku/>
        <w:overflowPunct/>
        <w:topLinePunct w:val="0"/>
        <w:autoSpaceDE/>
        <w:autoSpaceDN/>
        <w:bidi w:val="0"/>
        <w:spacing w:line="590" w:lineRule="exact"/>
        <w:jc w:val="left"/>
        <w:textAlignment w:val="auto"/>
        <w:rPr>
          <w:rFonts w:hint="eastAsia"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eastAsia="zh-CN"/>
        </w:rPr>
        <w:t>第四部分</w:t>
      </w:r>
      <w:r>
        <w:rPr>
          <w:rFonts w:hint="eastAsia" w:ascii="Times New Roman" w:hAnsi="Times New Roman" w:eastAsia="方正黑体_GBK" w:cs="Times New Roman"/>
          <w:sz w:val="32"/>
          <w:szCs w:val="32"/>
          <w:highlight w:val="none"/>
          <w:lang w:val="en-US" w:eastAsia="zh-CN"/>
        </w:rPr>
        <w:t xml:space="preserve">  </w:t>
      </w:r>
      <w:r>
        <w:rPr>
          <w:rFonts w:hint="eastAsia" w:ascii="Times New Roman" w:hAnsi="Times New Roman" w:eastAsia="方正黑体_GBK" w:cs="Times New Roman"/>
          <w:sz w:val="32"/>
          <w:szCs w:val="32"/>
          <w:highlight w:val="none"/>
        </w:rPr>
        <w:t>其他重要事项及相关口径情况说明</w:t>
      </w:r>
    </w:p>
    <w:p w14:paraId="43EA1517">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一、机关运行经费支出情况</w:t>
      </w:r>
    </w:p>
    <w:p w14:paraId="2A5CBB51">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二、国有资产占用情况</w:t>
      </w:r>
    </w:p>
    <w:p w14:paraId="4EAAA89C">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三、政府采购支出情况</w:t>
      </w:r>
    </w:p>
    <w:p w14:paraId="1D27509C">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四、部门绩效自评情况</w:t>
      </w:r>
    </w:p>
    <w:p w14:paraId="08A9971A">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五、其他重要事项情况说明</w:t>
      </w:r>
    </w:p>
    <w:p w14:paraId="71ABB499">
      <w:pPr>
        <w:keepNext w:val="0"/>
        <w:keepLines w:val="0"/>
        <w:pageBreakBefore w:val="0"/>
        <w:kinsoku/>
        <w:overflowPunct/>
        <w:topLinePunct w:val="0"/>
        <w:autoSpaceDE/>
        <w:autoSpaceDN/>
        <w:bidi w:val="0"/>
        <w:spacing w:line="590" w:lineRule="exact"/>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六、相关口径说明</w:t>
      </w:r>
    </w:p>
    <w:p w14:paraId="77CF2E4C">
      <w:pPr>
        <w:keepNext w:val="0"/>
        <w:keepLines w:val="0"/>
        <w:pageBreakBefore w:val="0"/>
        <w:kinsoku/>
        <w:overflowPunct/>
        <w:topLinePunct w:val="0"/>
        <w:autoSpaceDE/>
        <w:autoSpaceDN/>
        <w:bidi w:val="0"/>
        <w:spacing w:line="590" w:lineRule="exact"/>
        <w:jc w:val="left"/>
        <w:textAlignment w:val="auto"/>
        <w:rPr>
          <w:rFonts w:hint="eastAsia"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eastAsia="zh-CN"/>
        </w:rPr>
        <w:t>第五部分  名词解释</w:t>
      </w:r>
    </w:p>
    <w:p w14:paraId="43126B3D">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sz w:val="32"/>
          <w:szCs w:val="32"/>
          <w:highlight w:val="none"/>
        </w:rPr>
      </w:pPr>
    </w:p>
    <w:p w14:paraId="032A6E64">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sz w:val="32"/>
          <w:szCs w:val="32"/>
          <w:highlight w:val="none"/>
        </w:rPr>
      </w:pPr>
    </w:p>
    <w:p w14:paraId="3C33178D">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sz w:val="32"/>
          <w:szCs w:val="32"/>
          <w:highlight w:val="none"/>
        </w:rPr>
      </w:pPr>
    </w:p>
    <w:p w14:paraId="08DD7B71">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sz w:val="32"/>
          <w:szCs w:val="32"/>
          <w:highlight w:val="none"/>
        </w:rPr>
      </w:pPr>
    </w:p>
    <w:p w14:paraId="465D90D4">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sz w:val="32"/>
          <w:szCs w:val="32"/>
          <w:highlight w:val="none"/>
        </w:rPr>
      </w:pPr>
    </w:p>
    <w:p w14:paraId="4B8ED0E5">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sz w:val="32"/>
          <w:szCs w:val="32"/>
          <w:highlight w:val="none"/>
        </w:rPr>
      </w:pPr>
    </w:p>
    <w:p w14:paraId="116FB500">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sz w:val="32"/>
          <w:szCs w:val="32"/>
          <w:highlight w:val="none"/>
        </w:rPr>
      </w:pPr>
    </w:p>
    <w:p w14:paraId="3A935CB5">
      <w:pPr>
        <w:pStyle w:val="2"/>
        <w:rPr>
          <w:rFonts w:hint="eastAsia" w:ascii="黑体" w:hAnsi="黑体" w:eastAsia="黑体"/>
          <w:sz w:val="32"/>
          <w:szCs w:val="32"/>
          <w:highlight w:val="none"/>
        </w:rPr>
      </w:pPr>
    </w:p>
    <w:p w14:paraId="54599940">
      <w:pPr>
        <w:rPr>
          <w:rFonts w:hint="eastAsia"/>
        </w:rPr>
      </w:pPr>
    </w:p>
    <w:p w14:paraId="1F7C17BF">
      <w:pPr>
        <w:keepNext w:val="0"/>
        <w:keepLines w:val="0"/>
        <w:pageBreakBefore w:val="0"/>
        <w:kinsoku/>
        <w:overflowPunct/>
        <w:topLinePunct w:val="0"/>
        <w:autoSpaceDE/>
        <w:autoSpaceDN/>
        <w:bidi w:val="0"/>
        <w:spacing w:line="590" w:lineRule="exact"/>
        <w:jc w:val="both"/>
        <w:textAlignment w:val="auto"/>
        <w:rPr>
          <w:rFonts w:hint="eastAsia" w:ascii="黑体" w:hAnsi="黑体" w:eastAsia="黑体"/>
          <w:sz w:val="32"/>
          <w:szCs w:val="32"/>
          <w:highlight w:val="none"/>
        </w:rPr>
      </w:pPr>
    </w:p>
    <w:p w14:paraId="3B50321F">
      <w:pPr>
        <w:keepNext w:val="0"/>
        <w:keepLines w:val="0"/>
        <w:pageBreakBefore w:val="0"/>
        <w:kinsoku/>
        <w:overflowPunct/>
        <w:topLinePunct w:val="0"/>
        <w:autoSpaceDE/>
        <w:autoSpaceDN/>
        <w:bidi w:val="0"/>
        <w:spacing w:line="59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第一部分  </w:t>
      </w:r>
      <w:r>
        <w:rPr>
          <w:rFonts w:hint="eastAsia" w:ascii="方正黑体_GBK" w:hAnsi="方正黑体_GBK" w:eastAsia="方正黑体_GBK" w:cs="方正黑体_GBK"/>
          <w:sz w:val="32"/>
          <w:szCs w:val="32"/>
          <w:highlight w:val="none"/>
          <w:lang w:eastAsia="zh-CN"/>
        </w:rPr>
        <w:t>单位</w:t>
      </w:r>
      <w:r>
        <w:rPr>
          <w:rFonts w:hint="eastAsia" w:ascii="方正黑体_GBK" w:hAnsi="方正黑体_GBK" w:eastAsia="方正黑体_GBK" w:cs="方正黑体_GBK"/>
          <w:sz w:val="32"/>
          <w:szCs w:val="32"/>
          <w:highlight w:val="none"/>
        </w:rPr>
        <w:t>概况</w:t>
      </w:r>
    </w:p>
    <w:p w14:paraId="5CC6AE9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一、主要</w:t>
      </w:r>
      <w:r>
        <w:rPr>
          <w:rFonts w:hint="eastAsia" w:ascii="方正黑体_GBK" w:hAnsi="方正黑体_GBK" w:eastAsia="方正黑体_GBK" w:cs="方正黑体_GBK"/>
          <w:sz w:val="32"/>
          <w:szCs w:val="32"/>
          <w:highlight w:val="none"/>
          <w:lang w:eastAsia="zh-CN"/>
        </w:rPr>
        <w:t>职责</w:t>
      </w:r>
    </w:p>
    <w:p w14:paraId="4C63AB44">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建议</w:t>
      </w:r>
      <w:r>
        <w:rPr>
          <w:rFonts w:hint="eastAsia" w:ascii="方正仿宋_GBK" w:hAnsi="方正仿宋_GBK" w:eastAsia="方正仿宋_GBK" w:cs="方正仿宋_GBK"/>
          <w:bCs/>
          <w:sz w:val="32"/>
          <w:szCs w:val="32"/>
          <w:highlight w:val="none"/>
        </w:rPr>
        <w:t>参照政府批准的“三定”方案</w:t>
      </w:r>
      <w:r>
        <w:rPr>
          <w:rFonts w:hint="eastAsia" w:ascii="方正仿宋_GBK" w:hAnsi="方正仿宋_GBK" w:eastAsia="方正仿宋_GBK" w:cs="方正仿宋_GBK"/>
          <w:bCs/>
          <w:sz w:val="32"/>
          <w:szCs w:val="32"/>
          <w:highlight w:val="none"/>
          <w:lang w:eastAsia="zh-CN"/>
        </w:rPr>
        <w:t>或各单位官方网站对职能和机构的相关表述进行公开，与预算公开保持衔接</w:t>
      </w:r>
      <w:r>
        <w:rPr>
          <w:rFonts w:hint="eastAsia" w:ascii="方正仿宋_GBK" w:hAnsi="方正仿宋_GBK" w:eastAsia="方正仿宋_GBK" w:cs="方正仿宋_GBK"/>
          <w:bCs/>
          <w:sz w:val="32"/>
          <w:szCs w:val="32"/>
          <w:highlight w:val="none"/>
        </w:rPr>
        <w:t>。</w:t>
      </w:r>
    </w:p>
    <w:p w14:paraId="5968FEF9">
      <w:pPr>
        <w:keepNext w:val="0"/>
        <w:keepLines w:val="0"/>
        <w:pageBreakBefore w:val="0"/>
        <w:kinsoku/>
        <w:overflowPunct/>
        <w:topLinePunct w:val="0"/>
        <w:autoSpaceDE/>
        <w:autoSpaceDN/>
        <w:bidi w:val="0"/>
        <w:spacing w:line="590" w:lineRule="exact"/>
        <w:ind w:firstLine="600"/>
        <w:jc w:val="left"/>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（一）主要职能</w:t>
      </w:r>
    </w:p>
    <w:p w14:paraId="74CCE687">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根据《华宁县人民政府办公室关于印发华宁县工业商贸和科技信息局职能配置、内设机构和人员编制规定的通知》（华室字〔2019〕50号）文件规定，本部门主要职责是：</w:t>
      </w:r>
    </w:p>
    <w:p w14:paraId="6DE9E738">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（1）贯彻落实国家、省、市工业和信息产业法律法规及方针政策。</w:t>
      </w:r>
    </w:p>
    <w:p w14:paraId="61D5D293">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（2）研究和提出工业和信息产业发展政策。</w:t>
      </w:r>
    </w:p>
    <w:p w14:paraId="2C865546">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（3）制定并组织实施产业投资政策建议和工业与信息产业重大项目规划。</w:t>
      </w:r>
    </w:p>
    <w:p w14:paraId="7D74FA85">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（4）监测分析工业、信息产业运行态势并发布有关信息，进行预测预警和信息引导，协调解决行业运行发展中的有关问题并提出政策建议。</w:t>
      </w:r>
    </w:p>
    <w:p w14:paraId="59BA2415">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（5）负责工业和信息产业行业管理。</w:t>
      </w:r>
    </w:p>
    <w:p w14:paraId="05FA6E8E">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6）指导中小企业和非公有制经济发展，会同有关部门拟订促进中小企业发展和非公有制经济发展的有关政策和措施，参与拟订并组织实施工业企业的能源节约、资源综合利用、污染控制和清洁生产促进规划和政策。</w:t>
      </w:r>
    </w:p>
    <w:p w14:paraId="6904923F">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（7）拟订信息产业和通信基础设施建设发展规划，负责推进信息通信基础设施建设，加强信息产业的管理。负责制定数字经济发展规划和政策措施。</w:t>
      </w:r>
    </w:p>
    <w:p w14:paraId="5D533F1E">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（8）拟订市场流通发展规划，拟订全县内贸发展规划，贯彻执行国家、省、市、县引导市场体系建设、对外贸易、外商投资、电子商务、现代物流发展的政策措施。</w:t>
      </w:r>
    </w:p>
    <w:p w14:paraId="506389DA">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left"/>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9）拟订全县科技创新中长期发展规划、计划，制定全县科技创新工作政策措施及管理办法，会同有关部门做好高新技术产业化及应用技术的开发与推广，指导科技成果转化，组织科技型企业和科技创新平台和科技孵化平台认定的申报。</w:t>
      </w:r>
    </w:p>
    <w:p w14:paraId="5FAC8F4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w:t>
      </w:r>
      <w:r>
        <w:rPr>
          <w:rFonts w:hint="eastAsia" w:ascii="方正黑体_GBK" w:hAnsi="方正黑体_GBK" w:eastAsia="方正黑体_GBK" w:cs="方正黑体_GBK"/>
          <w:sz w:val="32"/>
          <w:szCs w:val="32"/>
          <w:highlight w:val="none"/>
          <w:lang w:eastAsia="zh-CN"/>
        </w:rPr>
        <w:t>单位</w:t>
      </w:r>
      <w:r>
        <w:rPr>
          <w:rFonts w:hint="eastAsia" w:ascii="方正黑体_GBK" w:hAnsi="方正黑体_GBK" w:eastAsia="方正黑体_GBK" w:cs="方正黑体_GBK"/>
          <w:sz w:val="32"/>
          <w:szCs w:val="32"/>
          <w:highlight w:val="none"/>
        </w:rPr>
        <w:t>基本情况</w:t>
      </w:r>
    </w:p>
    <w:p w14:paraId="667D898F">
      <w:pPr>
        <w:keepNext w:val="0"/>
        <w:keepLines w:val="0"/>
        <w:pageBreakBefore w:val="0"/>
        <w:kinsoku/>
        <w:overflowPunct/>
        <w:topLinePunct w:val="0"/>
        <w:autoSpaceDE/>
        <w:autoSpaceDN/>
        <w:bidi w:val="0"/>
        <w:spacing w:line="590" w:lineRule="exact"/>
        <w:ind w:firstLine="600"/>
        <w:jc w:val="both"/>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（一）机构设置情况</w:t>
      </w:r>
    </w:p>
    <w:p w14:paraId="17CAEED1">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我部门共设置9个内设机构，包括：办公室、政策法规和技术创新股、经济运行股、工业股、数字经济股、安全生产股、商务股、科技股、商务主体服务中心。</w:t>
      </w:r>
    </w:p>
    <w:p w14:paraId="6E3BD94B">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我单位为基层预算单位，无下属单位。</w:t>
      </w:r>
    </w:p>
    <w:p w14:paraId="1F540A2B">
      <w:pPr>
        <w:keepNext w:val="0"/>
        <w:keepLines w:val="0"/>
        <w:pageBreakBefore w:val="0"/>
        <w:kinsoku/>
        <w:overflowPunct/>
        <w:topLinePunct w:val="0"/>
        <w:autoSpaceDE/>
        <w:autoSpaceDN/>
        <w:bidi w:val="0"/>
        <w:spacing w:line="590" w:lineRule="exact"/>
        <w:ind w:firstLine="600"/>
        <w:jc w:val="both"/>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eastAsia="zh-CN"/>
        </w:rPr>
        <w:t>（二）</w:t>
      </w:r>
      <w:r>
        <w:rPr>
          <w:rFonts w:hint="eastAsia" w:ascii="方正楷体_GBK" w:hAnsi="方正楷体_GBK" w:eastAsia="方正楷体_GBK" w:cs="方正楷体_GBK"/>
          <w:sz w:val="32"/>
          <w:szCs w:val="32"/>
          <w:lang w:val="zh-CN"/>
        </w:rPr>
        <w:t>决算单位构成</w:t>
      </w:r>
    </w:p>
    <w:p w14:paraId="793F6EAD">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textAlignment w:val="auto"/>
        <w:rPr>
          <w:rFonts w:hint="eastAsia" w:ascii="Times New Roman" w:hAnsi="Times New Roman" w:eastAsia="方正仿宋_GBK" w:cs="Times New Roman"/>
          <w:bCs/>
          <w:sz w:val="32"/>
          <w:szCs w:val="32"/>
          <w:highlight w:val="none"/>
          <w:lang w:val="en-US" w:eastAsia="zh-CN"/>
        </w:rPr>
      </w:pPr>
      <w:r>
        <w:rPr>
          <w:rFonts w:hint="eastAsia" w:ascii="Times New Roman" w:hAnsi="Times New Roman" w:eastAsia="方正仿宋_GBK" w:cs="Times New Roman"/>
          <w:bCs/>
          <w:sz w:val="32"/>
          <w:szCs w:val="32"/>
          <w:highlight w:val="none"/>
          <w:lang w:val="en-US" w:eastAsia="zh-CN"/>
        </w:rPr>
        <w:t>我单位作为</w:t>
      </w:r>
      <w:r>
        <w:rPr>
          <w:rFonts w:hint="default" w:ascii="Times New Roman" w:hAnsi="Times New Roman" w:eastAsia="方正仿宋_GBK" w:cs="Times New Roman"/>
          <w:bCs/>
          <w:sz w:val="32"/>
          <w:szCs w:val="32"/>
          <w:highlight w:val="none"/>
          <w:lang w:val="en-US" w:eastAsia="zh-CN"/>
        </w:rPr>
        <w:t>宁县工业商贸和科技信息局部门</w:t>
      </w:r>
      <w:r>
        <w:rPr>
          <w:rFonts w:hint="eastAsia" w:ascii="Times New Roman" w:hAnsi="Times New Roman" w:eastAsia="方正仿宋_GBK" w:cs="Times New Roman"/>
          <w:bCs/>
          <w:sz w:val="32"/>
          <w:szCs w:val="32"/>
          <w:highlight w:val="none"/>
          <w:lang w:val="en-US" w:eastAsia="zh-CN"/>
        </w:rPr>
        <w:t>的二级预算单位纳入2024年度部门决算编报范围。</w:t>
      </w:r>
    </w:p>
    <w:p w14:paraId="2F19980A">
      <w:pPr>
        <w:keepNext w:val="0"/>
        <w:keepLines w:val="0"/>
        <w:pageBreakBefore w:val="0"/>
        <w:kinsoku/>
        <w:overflowPunct/>
        <w:topLinePunct w:val="0"/>
        <w:autoSpaceDE/>
        <w:autoSpaceDN/>
        <w:bidi w:val="0"/>
        <w:spacing w:line="590" w:lineRule="exact"/>
        <w:ind w:firstLine="640" w:firstLineChars="200"/>
        <w:jc w:val="both"/>
        <w:textAlignment w:val="auto"/>
        <w:rPr>
          <w:rFonts w:hint="eastAsia"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w:t>
      </w:r>
      <w:r>
        <w:rPr>
          <w:rFonts w:hint="eastAsia" w:ascii="方正楷体_GBK" w:hAnsi="方正楷体_GBK" w:eastAsia="方正楷体_GBK" w:cs="方正楷体_GBK"/>
          <w:sz w:val="32"/>
          <w:szCs w:val="32"/>
          <w:lang w:val="zh-CN" w:eastAsia="zh-CN"/>
        </w:rPr>
        <w:t xml:space="preserve">三）单位人员和车辆的编制及实有情况 </w:t>
      </w:r>
    </w:p>
    <w:p w14:paraId="5AF5BDB9">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eastAsia" w:ascii="Times New Roman" w:hAnsi="Times New Roman" w:eastAsia="方正仿宋_GBK" w:cs="Times New Roman"/>
          <w:bCs/>
          <w:sz w:val="32"/>
          <w:szCs w:val="32"/>
          <w:highlight w:val="none"/>
          <w:lang w:val="en-US" w:eastAsia="zh-CN"/>
        </w:rPr>
      </w:pPr>
      <w:r>
        <w:rPr>
          <w:rFonts w:hint="eastAsia" w:ascii="Times New Roman" w:hAnsi="Times New Roman" w:eastAsia="方正仿宋_GBK" w:cs="Times New Roman"/>
          <w:bCs/>
          <w:sz w:val="32"/>
          <w:szCs w:val="32"/>
          <w:highlight w:val="none"/>
          <w:lang w:val="en-US" w:eastAsia="zh-CN"/>
        </w:rPr>
        <w:t>我单位2024年末编制内实有人员28人。包括财政拨款开支经费的：公务员18人，参照公务员法管理人员0人，事业管理人员和专业技术人员9人，机关和事业工人1人；经费自理人员0人。</w:t>
      </w:r>
    </w:p>
    <w:p w14:paraId="0184C5CB">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eastAsia" w:ascii="Times New Roman" w:hAnsi="Times New Roman" w:eastAsia="方正仿宋_GBK" w:cs="Times New Roman"/>
          <w:bCs/>
          <w:sz w:val="32"/>
          <w:szCs w:val="32"/>
          <w:highlight w:val="none"/>
          <w:lang w:val="en-US" w:eastAsia="zh-CN"/>
        </w:rPr>
      </w:pPr>
      <w:r>
        <w:rPr>
          <w:rFonts w:hint="eastAsia" w:ascii="Times New Roman" w:hAnsi="Times New Roman" w:eastAsia="方正仿宋_GBK" w:cs="Times New Roman"/>
          <w:bCs/>
          <w:sz w:val="32"/>
          <w:szCs w:val="32"/>
          <w:highlight w:val="none"/>
          <w:lang w:val="en-US" w:eastAsia="zh-CN"/>
        </w:rPr>
        <w:t>我单位2024年末其他人员2人。包括财政拨款开支经费的人员1人；经费自理人员1人。</w:t>
      </w:r>
    </w:p>
    <w:p w14:paraId="2D4AA2D1">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eastAsia" w:ascii="Times New Roman" w:hAnsi="Times New Roman" w:eastAsia="方正仿宋_GBK" w:cs="Times New Roman"/>
          <w:bCs/>
          <w:sz w:val="32"/>
          <w:szCs w:val="32"/>
          <w:highlight w:val="none"/>
          <w:lang w:val="en-US" w:eastAsia="zh-CN"/>
        </w:rPr>
      </w:pPr>
      <w:r>
        <w:rPr>
          <w:rFonts w:hint="eastAsia" w:ascii="Times New Roman" w:hAnsi="Times New Roman" w:eastAsia="方正仿宋_GBK" w:cs="Times New Roman"/>
          <w:bCs/>
          <w:sz w:val="32"/>
          <w:szCs w:val="32"/>
          <w:highlight w:val="none"/>
          <w:lang w:val="en-US" w:eastAsia="zh-CN"/>
        </w:rPr>
        <w:t>年末尚未移交养老保险基金发放养老金的离退休人员共计0人（离休0人，退休0人）。年末由养老保险基金发放养老金的离退休人员58人（离休0人，退休0人）。</w:t>
      </w:r>
    </w:p>
    <w:p w14:paraId="3300DFA0">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eastAsia" w:ascii="Times New Roman" w:hAnsi="Times New Roman" w:eastAsia="方正仿宋_GBK" w:cs="Times New Roman"/>
          <w:bCs/>
          <w:sz w:val="32"/>
          <w:szCs w:val="32"/>
          <w:highlight w:val="none"/>
          <w:lang w:val="en-US" w:eastAsia="zh-CN"/>
        </w:rPr>
      </w:pPr>
      <w:r>
        <w:rPr>
          <w:rFonts w:hint="eastAsia" w:ascii="Times New Roman" w:hAnsi="Times New Roman" w:eastAsia="方正仿宋_GBK" w:cs="Times New Roman"/>
          <w:bCs/>
          <w:sz w:val="32"/>
          <w:szCs w:val="32"/>
          <w:highlight w:val="none"/>
          <w:lang w:val="en-US" w:eastAsia="zh-CN"/>
        </w:rPr>
        <w:t>车辆编制1辆，在编实有车辆1辆，超编0辆。</w:t>
      </w:r>
    </w:p>
    <w:p w14:paraId="665A40B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三、重点工作概述</w:t>
      </w:r>
    </w:p>
    <w:p w14:paraId="5A25DF37">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1.优质中小企业培育成效显著。认真贯彻落实好省市企业扶持政策，抓好中小微企业人才队伍建设，引导全县中小企业向专精特新优质企业发展，持续做好青砖青瓦生产企业综合整治，引导全县青砖瓦行业转型升级入驻古建筑新材料产业园。2024年争取优质中小企业贷款贴息资金补助28.7万元、云南省制造业高质量发展专项资金15.7万元、争取担保资金协助金晨纸业完成3600万元贷款置换，认真做好拖欠中小企业账款清欠工作，受理办结拖欠中小企业账款投诉27件。新增认定“云南省创新型中小企业”2户，目前全县累计认定10户，新增认定专精特新中小企业2户，目前全县共2户。</w:t>
      </w:r>
    </w:p>
    <w:p w14:paraId="54FC0ABB">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2.限上批发、零售业稳步增长。一是持续开展“促消费 以旧换新”活动。积极开展以旧换新政策宣传，动员企业参与以旧换新活动，全县参与以旧换新活动的家电企业7户，电动自行车企业3户。截止11月8日，汽车报废更新补贴9辆、汽车置换更新6辆，补贴金额20.5万元，带动车企销售额67.8万元；完成家具家电以旧换新1125笔，补贴金额78.86万元，带动企业销售额421.61万元。二是建设完善电子商务公共服务体系。做好电商项目整体验收工作，新增哪吒快递进驻物流中心，入驻电商中心企业30家，依托电商中心，培育电商企业纳限。三是规范管理成品油市场。顺利完成县域内证照齐全的18家加油站年检，初步完成除斗阁加油站外的8座加油站“智慧综合服务平台”建设，提升了成品油市场信息化、规范化、管理水平，目前全县成品油市场流通秩序良好。</w:t>
      </w:r>
    </w:p>
    <w:p w14:paraId="077DEEDE">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3外贸发展质量稳步提升。认真贯彻落实农产品出口试点、开放型经济高质量发展实施方案，协助华溪镇建设外贸综合服务中心，完成38户企业出口基地备案，备案面积9.08万亩，新增出口企业1户。</w:t>
      </w:r>
    </w:p>
    <w:p w14:paraId="04120375">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4.强化企业创新主体地位，“一企一策”分类指导，着力营造科技创新政策环境。新增省级科技型中小企业10户、国家级科技型中小企业4户、高新技术企业1户，2户高新技术企业再申报认定，目前全县高新技术企业共10户。推动云南陶产业创新研究院、云南省乡村振兴科技创新村等项目建设，新选派科技特派员16人，优质鲜食玉米产业科技特派团项目辐射带动效果显著。</w:t>
      </w:r>
    </w:p>
    <w:p w14:paraId="75BF9551">
      <w:pPr>
        <w:pStyle w:val="3"/>
        <w:keepNext w:val="0"/>
        <w:keepLines w:val="0"/>
        <w:pageBreakBefore w:val="0"/>
        <w:kinsoku/>
        <w:overflowPunct/>
        <w:topLinePunct w:val="0"/>
        <w:autoSpaceDE/>
        <w:autoSpaceDN/>
        <w:bidi w:val="0"/>
        <w:adjustRightInd w:val="0"/>
        <w:snapToGrid w:val="0"/>
        <w:spacing w:before="0" w:beforeLines="0" w:line="590" w:lineRule="exact"/>
        <w:ind w:firstLine="672" w:firstLineChars="210"/>
        <w:jc w:val="both"/>
        <w:textAlignment w:val="auto"/>
        <w:rPr>
          <w:rFonts w:hint="eastAsia"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5.通信基础设施建设日趋完善。以5G基站建设和宽带城市建设为重点，加大全县5G覆盖率，充分发挥4G、5G在智慧县城、美丽县城、数字乡村、电子商务等领域基础性作用，切实做好信息传输和通信保障。完成5G基站新建和存量站址改造124个，行政村5G覆盖率达100%，22个自然村宽带覆盖，改造完成122个千兆小区。</w:t>
      </w:r>
    </w:p>
    <w:p w14:paraId="2E5EA2C5">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eastAsia" w:ascii="方正黑体_GBK" w:hAnsi="方正黑体_GBK" w:eastAsia="方正黑体_GBK" w:cs="方正黑体_GBK"/>
          <w:sz w:val="32"/>
          <w:szCs w:val="32"/>
          <w:highlight w:val="none"/>
          <w:lang w:eastAsia="zh-CN"/>
        </w:rPr>
      </w:pPr>
    </w:p>
    <w:p w14:paraId="742FB09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 xml:space="preserve">第二部分  </w:t>
      </w:r>
      <w:r>
        <w:rPr>
          <w:rFonts w:hint="default" w:ascii="Times New Roman" w:hAnsi="Times New Roman" w:eastAsia="方正黑体_GBK" w:cs="Times New Roman"/>
          <w:sz w:val="32"/>
          <w:szCs w:val="32"/>
          <w:highlight w:val="none"/>
          <w:lang w:val="en-US" w:eastAsia="zh-CN"/>
        </w:rPr>
        <w:t>2024</w:t>
      </w:r>
      <w:r>
        <w:rPr>
          <w:rFonts w:hint="default" w:ascii="Times New Roman" w:hAnsi="Times New Roman" w:eastAsia="方正黑体_GBK" w:cs="Times New Roman"/>
          <w:sz w:val="32"/>
          <w:szCs w:val="32"/>
          <w:highlight w:val="none"/>
          <w:lang w:eastAsia="zh-CN"/>
        </w:rPr>
        <w:t>年度部门决算表</w:t>
      </w:r>
    </w:p>
    <w:p w14:paraId="607313E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sz w:val="30"/>
          <w:szCs w:val="30"/>
          <w:highlight w:val="none"/>
        </w:rPr>
        <w:t>（详见附件）</w:t>
      </w:r>
    </w:p>
    <w:p w14:paraId="514A56C8">
      <w:pPr>
        <w:pStyle w:val="2"/>
        <w:keepNext w:val="0"/>
        <w:keepLines w:val="0"/>
        <w:pageBreakBefore w:val="0"/>
        <w:kinsoku/>
        <w:overflowPunct/>
        <w:topLinePunct w:val="0"/>
        <w:autoSpaceDE/>
        <w:autoSpaceDN/>
        <w:bidi w:val="0"/>
        <w:spacing w:line="590" w:lineRule="exact"/>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en-US" w:eastAsia="zh-CN" w:bidi="ar-SA"/>
        </w:rPr>
        <w:t>华宁县工业商贸和科技信息局（本级）202</w:t>
      </w:r>
      <w:r>
        <w:rPr>
          <w:rFonts w:hint="eastAsia" w:ascii="Times New Roman" w:hAnsi="Times New Roman" w:eastAsia="方正仿宋_GBK" w:cs="Times New Roman"/>
          <w:bCs/>
          <w:kern w:val="2"/>
          <w:sz w:val="32"/>
          <w:szCs w:val="32"/>
          <w:highlight w:val="none"/>
          <w:lang w:val="en-US" w:eastAsia="zh-CN" w:bidi="ar-SA"/>
        </w:rPr>
        <w:t>4</w:t>
      </w:r>
      <w:r>
        <w:rPr>
          <w:rFonts w:hint="default" w:ascii="Times New Roman" w:hAnsi="Times New Roman" w:eastAsia="方正仿宋_GBK" w:cs="Times New Roman"/>
          <w:bCs/>
          <w:kern w:val="2"/>
          <w:sz w:val="32"/>
          <w:szCs w:val="32"/>
          <w:highlight w:val="none"/>
          <w:lang w:val="en-US" w:eastAsia="zh-CN" w:bidi="ar-SA"/>
        </w:rPr>
        <w:t>年度无国有资本经营收入，也未使用国有资本经营安排的支出，故《国有资本经营预算财政拨款收入支出决算表》为空表。</w:t>
      </w:r>
    </w:p>
    <w:p w14:paraId="3C8D52E4">
      <w:pPr>
        <w:keepNext w:val="0"/>
        <w:keepLines w:val="0"/>
        <w:pageBreakBefore w:val="0"/>
        <w:kinsoku/>
        <w:overflowPunct/>
        <w:topLinePunct w:val="0"/>
        <w:autoSpaceDE/>
        <w:autoSpaceDN/>
        <w:bidi w:val="0"/>
        <w:spacing w:line="590" w:lineRule="exact"/>
        <w:ind w:firstLine="600" w:firstLineChars="200"/>
        <w:jc w:val="both"/>
        <w:textAlignment w:val="auto"/>
        <w:rPr>
          <w:rFonts w:hint="eastAsia" w:ascii="仿宋_GB2312" w:eastAsia="仿宋_GB2312"/>
          <w:sz w:val="30"/>
          <w:szCs w:val="30"/>
          <w:highlight w:val="none"/>
          <w:lang w:eastAsia="zh-CN"/>
        </w:rPr>
      </w:pPr>
    </w:p>
    <w:p w14:paraId="51ADCD5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eastAsia="zh-CN"/>
        </w:rPr>
        <w:t xml:space="preserve">第三部分  </w:t>
      </w:r>
      <w:r>
        <w:rPr>
          <w:rFonts w:hint="eastAsia" w:ascii="Times New Roman" w:hAnsi="Times New Roman" w:eastAsia="方正黑体_GBK" w:cs="Times New Roman"/>
          <w:sz w:val="32"/>
          <w:szCs w:val="32"/>
          <w:highlight w:val="none"/>
          <w:lang w:val="en-US" w:eastAsia="zh-CN"/>
        </w:rPr>
        <w:t>2024</w:t>
      </w:r>
      <w:r>
        <w:rPr>
          <w:rFonts w:hint="eastAsia" w:ascii="Times New Roman" w:hAnsi="Times New Roman" w:eastAsia="方正黑体_GBK" w:cs="Times New Roman"/>
          <w:sz w:val="32"/>
          <w:szCs w:val="32"/>
          <w:highlight w:val="none"/>
          <w:lang w:eastAsia="zh-CN"/>
        </w:rPr>
        <w:t>年度部门决算情况说明</w:t>
      </w:r>
    </w:p>
    <w:p w14:paraId="0A71B30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eastAsia="zh-CN"/>
        </w:rPr>
        <w:t>一、收入决算情况说明</w:t>
      </w:r>
    </w:p>
    <w:p w14:paraId="4A7A9BBA">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zh-CN" w:eastAsia="zh-CN" w:bidi="ar-SA"/>
        </w:rPr>
        <w:t>华宁县工业商贸和科技信息局（本级）</w:t>
      </w:r>
      <w:r>
        <w:rPr>
          <w:rFonts w:hint="eastAsia" w:ascii="Times New Roman" w:hAnsi="Times New Roman" w:eastAsia="方正仿宋_GBK" w:cs="Times New Roman"/>
          <w:bCs/>
          <w:kern w:val="2"/>
          <w:sz w:val="32"/>
          <w:szCs w:val="32"/>
          <w:highlight w:val="none"/>
          <w:lang w:val="en-US" w:eastAsia="zh-CN" w:bidi="ar-SA"/>
        </w:rPr>
        <w:t>2024年度收入合计11992422.59元。其中：财政拨款收入9954955.5元，占总收入的83.01%；上级补助收入0.00元，占总收入的0.00%；事业收入0.00元（含教育收费0.00元），占总收入的0.00%；经营收入0.00元，占总收入的0.00%；附属单位上缴收入0.00元，占总收入的0.00%；其他收入37467.09元，占总收入的0.31%。</w:t>
      </w:r>
    </w:p>
    <w:p w14:paraId="650E85CD">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default"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与上年相比，收入合计增加2642203.96元，增长28.26%。其中：财政拨款收入增加718454.24元，增长7.78%，主要原因是：在职在编职工调整保险基数，事业人员正常晋薪，项目拨款收入增加等导致财政拨款收入增加；我单位上级补助收入；无事业收入；无经营收入；无附属单位上缴收入；其他收入增37467.09元，增长100.00%，主要原因为补发了公益岗位工资</w:t>
      </w:r>
      <w:r>
        <w:rPr>
          <w:rFonts w:hint="eastAsia" w:eastAsia="方正仿宋_GBK" w:cs="Times New Roman"/>
          <w:bCs/>
          <w:kern w:val="2"/>
          <w:sz w:val="32"/>
          <w:szCs w:val="32"/>
          <w:highlight w:val="none"/>
          <w:lang w:val="en-US" w:eastAsia="zh-CN" w:bidi="ar-SA"/>
        </w:rPr>
        <w:t>。</w:t>
      </w:r>
      <w:bookmarkStart w:id="0" w:name="_GoBack"/>
      <w:bookmarkEnd w:id="0"/>
    </w:p>
    <w:p w14:paraId="1F686BB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eastAsia="zh-CN"/>
        </w:rPr>
        <w:t>二、支出决算情况说明</w:t>
      </w:r>
    </w:p>
    <w:p w14:paraId="1C2C4995">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zh-CN" w:eastAsia="zh-CN" w:bidi="ar-SA"/>
        </w:rPr>
        <w:t>华宁县工业商贸和科技信息局（本级）</w:t>
      </w:r>
      <w:r>
        <w:rPr>
          <w:rFonts w:hint="eastAsia" w:ascii="Times New Roman" w:hAnsi="Times New Roman" w:eastAsia="方正仿宋_GBK" w:cs="Times New Roman"/>
          <w:bCs/>
          <w:kern w:val="2"/>
          <w:sz w:val="32"/>
          <w:szCs w:val="32"/>
          <w:highlight w:val="none"/>
          <w:lang w:val="en-US" w:eastAsia="zh-CN" w:bidi="ar-SA"/>
        </w:rPr>
        <w:t>2024年度支出合计11992422.59元。其中：基本支出4779404.04元，占总支出的39.85％；项目支出7213018.55元，占总支出的60.15％；上缴上级支出0.00元，占总支出的0.00％；经营支出0.00元，占总支出的0.00％；对附属单位补助支出0.00元，占总支出的0.00％。</w:t>
      </w:r>
    </w:p>
    <w:p w14:paraId="02A68157">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与上年相比，支出合计增加2754216.23元，增长29.84%。其中：基本支出减少645759.32元，下降11.9%</w:t>
      </w:r>
      <w:r>
        <w:rPr>
          <w:rFonts w:hint="default" w:ascii="Times New Roman" w:hAnsi="Times New Roman" w:eastAsia="方正仿宋_GBK" w:cs="Times New Roman"/>
          <w:bCs/>
          <w:kern w:val="2"/>
          <w:sz w:val="32"/>
          <w:szCs w:val="32"/>
          <w:highlight w:val="none"/>
          <w:lang w:val="en-US" w:eastAsia="zh-CN" w:bidi="ar-SA"/>
        </w:rPr>
        <w:t>主要原因是</w:t>
      </w:r>
      <w:r>
        <w:rPr>
          <w:rFonts w:hint="eastAsia" w:ascii="Times New Roman" w:hAnsi="Times New Roman" w:eastAsia="方正仿宋_GBK" w:cs="Times New Roman"/>
          <w:bCs/>
          <w:kern w:val="2"/>
          <w:sz w:val="32"/>
          <w:szCs w:val="32"/>
          <w:highlight w:val="none"/>
          <w:lang w:val="en-US" w:eastAsia="zh-CN" w:bidi="ar-SA"/>
        </w:rPr>
        <w:t>：</w:t>
      </w:r>
      <w:r>
        <w:rPr>
          <w:rFonts w:hint="default" w:ascii="Times New Roman" w:hAnsi="Times New Roman" w:eastAsia="方正仿宋_GBK" w:cs="Times New Roman"/>
          <w:bCs/>
          <w:kern w:val="2"/>
          <w:sz w:val="32"/>
          <w:szCs w:val="32"/>
          <w:highlight w:val="none"/>
          <w:lang w:val="en-US" w:eastAsia="zh-CN" w:bidi="ar-SA"/>
        </w:rPr>
        <w:t>本年度本部门退休</w:t>
      </w:r>
      <w:r>
        <w:rPr>
          <w:rFonts w:hint="eastAsia" w:ascii="Times New Roman" w:hAnsi="Times New Roman" w:eastAsia="方正仿宋_GBK" w:cs="Times New Roman"/>
          <w:bCs/>
          <w:kern w:val="2"/>
          <w:sz w:val="32"/>
          <w:szCs w:val="32"/>
          <w:highlight w:val="none"/>
          <w:lang w:val="en-US" w:eastAsia="zh-CN" w:bidi="ar-SA"/>
        </w:rPr>
        <w:t>2</w:t>
      </w:r>
      <w:r>
        <w:rPr>
          <w:rFonts w:hint="default" w:ascii="Times New Roman" w:hAnsi="Times New Roman" w:eastAsia="方正仿宋_GBK" w:cs="Times New Roman"/>
          <w:bCs/>
          <w:kern w:val="2"/>
          <w:sz w:val="32"/>
          <w:szCs w:val="32"/>
          <w:highlight w:val="none"/>
          <w:lang w:val="en-US" w:eastAsia="zh-CN" w:bidi="ar-SA"/>
        </w:rPr>
        <w:t>名职工，职工人数减少</w:t>
      </w:r>
      <w:r>
        <w:rPr>
          <w:rFonts w:hint="eastAsia" w:ascii="Times New Roman" w:hAnsi="Times New Roman" w:eastAsia="方正仿宋_GBK" w:cs="Times New Roman"/>
          <w:bCs/>
          <w:kern w:val="2"/>
          <w:sz w:val="32"/>
          <w:szCs w:val="32"/>
          <w:highlight w:val="none"/>
          <w:lang w:val="en-US" w:eastAsia="zh-CN" w:bidi="ar-SA"/>
        </w:rPr>
        <w:t>；项目支出增加3399975.55元，增长89.17%，主要原因是：</w:t>
      </w:r>
      <w:r>
        <w:rPr>
          <w:rFonts w:hint="default" w:ascii="Times New Roman" w:hAnsi="Times New Roman" w:eastAsia="方正仿宋_GBK" w:cs="Times New Roman"/>
          <w:bCs/>
          <w:kern w:val="2"/>
          <w:sz w:val="32"/>
          <w:szCs w:val="32"/>
          <w:highlight w:val="none"/>
          <w:lang w:val="en-US" w:eastAsia="zh-CN" w:bidi="ar-SA"/>
        </w:rPr>
        <w:t>202</w:t>
      </w:r>
      <w:r>
        <w:rPr>
          <w:rFonts w:hint="eastAsia" w:ascii="Times New Roman" w:hAnsi="Times New Roman" w:eastAsia="方正仿宋_GBK" w:cs="Times New Roman"/>
          <w:bCs/>
          <w:kern w:val="2"/>
          <w:sz w:val="32"/>
          <w:szCs w:val="32"/>
          <w:highlight w:val="none"/>
          <w:lang w:val="en-US" w:eastAsia="zh-CN" w:bidi="ar-SA"/>
        </w:rPr>
        <w:t>4</w:t>
      </w:r>
      <w:r>
        <w:rPr>
          <w:rFonts w:hint="default" w:ascii="Times New Roman" w:hAnsi="Times New Roman" w:eastAsia="方正仿宋_GBK" w:cs="Times New Roman"/>
          <w:bCs/>
          <w:kern w:val="2"/>
          <w:sz w:val="32"/>
          <w:szCs w:val="32"/>
          <w:highlight w:val="none"/>
          <w:lang w:val="en-US" w:eastAsia="zh-CN" w:bidi="ar-SA"/>
        </w:rPr>
        <w:t>年度本部门项目专项资金支出大幅</w:t>
      </w:r>
      <w:r>
        <w:rPr>
          <w:rFonts w:hint="eastAsia" w:ascii="Times New Roman" w:hAnsi="Times New Roman" w:eastAsia="方正仿宋_GBK" w:cs="Times New Roman"/>
          <w:bCs/>
          <w:kern w:val="2"/>
          <w:sz w:val="32"/>
          <w:szCs w:val="32"/>
          <w:highlight w:val="none"/>
          <w:lang w:val="en-US" w:eastAsia="zh-CN" w:bidi="ar-SA"/>
        </w:rPr>
        <w:t>增加；上缴上级支出增加0.00元，增长0.00%；经营支出增加0.00元，增长0.00%；对附属单位补助支出增加0.00元，增长0.00%。</w:t>
      </w:r>
    </w:p>
    <w:p w14:paraId="12135216">
      <w:pPr>
        <w:keepNext w:val="0"/>
        <w:keepLines w:val="0"/>
        <w:pageBreakBefore w:val="0"/>
        <w:kinsoku/>
        <w:overflowPunct/>
        <w:topLinePunct w:val="0"/>
        <w:autoSpaceDE/>
        <w:autoSpaceDN/>
        <w:bidi w:val="0"/>
        <w:spacing w:line="590" w:lineRule="exact"/>
        <w:ind w:firstLine="640" w:firstLineChars="200"/>
        <w:jc w:val="both"/>
        <w:textAlignment w:val="auto"/>
        <w:rPr>
          <w:rFonts w:hint="eastAsia"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（一）基本支出情况</w:t>
      </w:r>
    </w:p>
    <w:p w14:paraId="5EC8215E">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2024年度用于保障</w:t>
      </w:r>
      <w:r>
        <w:rPr>
          <w:rFonts w:hint="default" w:ascii="Times New Roman" w:hAnsi="Times New Roman" w:eastAsia="方正仿宋_GBK" w:cs="Times New Roman"/>
          <w:bCs/>
          <w:kern w:val="2"/>
          <w:sz w:val="32"/>
          <w:szCs w:val="32"/>
          <w:highlight w:val="none"/>
          <w:lang w:val="zh-CN" w:eastAsia="zh-CN" w:bidi="ar-SA"/>
        </w:rPr>
        <w:t>华宁县工业商贸和科技信息局（本级）</w:t>
      </w:r>
      <w:r>
        <w:rPr>
          <w:rFonts w:hint="eastAsia" w:ascii="Times New Roman" w:hAnsi="Times New Roman" w:eastAsia="方正仿宋_GBK" w:cs="Times New Roman"/>
          <w:bCs/>
          <w:kern w:val="2"/>
          <w:sz w:val="32"/>
          <w:szCs w:val="32"/>
          <w:highlight w:val="none"/>
          <w:lang w:val="en-US" w:eastAsia="zh-CN" w:bidi="ar-SA"/>
        </w:rPr>
        <w:t>机构正常运转的日常支出4779404.04元。其中：基本工资、津贴补贴等人员经费支出4532572.24元，占基本支出的94.84％；办公费、印刷费、水电费、办公设备购置等公用经费246831.8元，占基本支出的5.16％。</w:t>
      </w:r>
    </w:p>
    <w:p w14:paraId="5356EE5C">
      <w:pPr>
        <w:keepNext w:val="0"/>
        <w:keepLines w:val="0"/>
        <w:pageBreakBefore w:val="0"/>
        <w:kinsoku/>
        <w:overflowPunct/>
        <w:topLinePunct w:val="0"/>
        <w:autoSpaceDE/>
        <w:autoSpaceDN/>
        <w:bidi w:val="0"/>
        <w:spacing w:line="590" w:lineRule="exact"/>
        <w:ind w:firstLine="640" w:firstLineChars="200"/>
        <w:jc w:val="both"/>
        <w:textAlignment w:val="auto"/>
        <w:rPr>
          <w:rFonts w:hint="eastAsia"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（二）项目支出情况</w:t>
      </w:r>
    </w:p>
    <w:p w14:paraId="13414DB8">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default"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2024年度用于保障</w:t>
      </w:r>
      <w:r>
        <w:rPr>
          <w:rFonts w:hint="default" w:ascii="Times New Roman" w:hAnsi="Times New Roman" w:eastAsia="方正仿宋_GBK" w:cs="Times New Roman"/>
          <w:bCs/>
          <w:kern w:val="2"/>
          <w:sz w:val="32"/>
          <w:szCs w:val="32"/>
          <w:highlight w:val="none"/>
          <w:lang w:val="zh-CN" w:eastAsia="zh-CN" w:bidi="ar-SA"/>
        </w:rPr>
        <w:t>华宁县工业商贸和科技信息局（本级）</w:t>
      </w:r>
      <w:r>
        <w:rPr>
          <w:rFonts w:hint="eastAsia" w:ascii="Times New Roman" w:hAnsi="Times New Roman" w:eastAsia="方正仿宋_GBK" w:cs="Times New Roman"/>
          <w:bCs/>
          <w:kern w:val="2"/>
          <w:sz w:val="32"/>
          <w:szCs w:val="32"/>
          <w:highlight w:val="none"/>
          <w:lang w:val="en-US" w:eastAsia="zh-CN" w:bidi="ar-SA"/>
        </w:rPr>
        <w:t>为完成特定的行政工作任务或事业发展目标，用于专项业务工作的经费支出7213018.55元。其中：基本建设类项目支出0.00元。</w:t>
      </w:r>
      <w:r>
        <w:rPr>
          <w:rFonts w:hint="default" w:ascii="Times New Roman" w:hAnsi="Times New Roman" w:eastAsia="方正仿宋_GBK" w:cs="Times New Roman"/>
          <w:bCs/>
          <w:kern w:val="2"/>
          <w:sz w:val="32"/>
          <w:szCs w:val="32"/>
          <w:highlight w:val="none"/>
          <w:lang w:val="en-US" w:eastAsia="zh-CN" w:bidi="ar-SA"/>
        </w:rPr>
        <w:t>具体项目开支及开展工作情况：发展与改革事务支出37467.09</w:t>
      </w:r>
      <w:r>
        <w:rPr>
          <w:rFonts w:hint="eastAsia" w:ascii="Times New Roman" w:hAnsi="Times New Roman" w:eastAsia="方正仿宋_GBK" w:cs="Times New Roman"/>
          <w:bCs/>
          <w:kern w:val="2"/>
          <w:sz w:val="32"/>
          <w:szCs w:val="32"/>
          <w:highlight w:val="none"/>
          <w:lang w:val="en-US" w:eastAsia="zh-CN" w:bidi="ar-SA"/>
        </w:rPr>
        <w:t>元，</w:t>
      </w:r>
      <w:r>
        <w:rPr>
          <w:rFonts w:hint="default" w:ascii="Times New Roman" w:hAnsi="Times New Roman" w:eastAsia="方正仿宋_GBK" w:cs="Times New Roman"/>
          <w:bCs/>
          <w:kern w:val="2"/>
          <w:sz w:val="32"/>
          <w:szCs w:val="32"/>
          <w:highlight w:val="none"/>
          <w:lang w:val="en-US" w:eastAsia="zh-CN" w:bidi="ar-SA"/>
        </w:rPr>
        <w:t>社会保障和就业支出</w:t>
      </w:r>
      <w:r>
        <w:rPr>
          <w:rFonts w:hint="eastAsia" w:ascii="Times New Roman" w:hAnsi="Times New Roman" w:eastAsia="方正仿宋_GBK" w:cs="Times New Roman"/>
          <w:bCs/>
          <w:kern w:val="2"/>
          <w:sz w:val="32"/>
          <w:szCs w:val="32"/>
          <w:highlight w:val="none"/>
          <w:lang w:val="en-US" w:eastAsia="zh-CN" w:bidi="ar-SA"/>
        </w:rPr>
        <w:t>852724.60元，</w:t>
      </w:r>
      <w:r>
        <w:rPr>
          <w:rFonts w:hint="default" w:ascii="Times New Roman" w:hAnsi="Times New Roman" w:eastAsia="方正仿宋_GBK" w:cs="Times New Roman"/>
          <w:bCs/>
          <w:kern w:val="2"/>
          <w:sz w:val="32"/>
          <w:szCs w:val="32"/>
          <w:highlight w:val="none"/>
          <w:lang w:val="en-US" w:eastAsia="zh-CN" w:bidi="ar-SA"/>
        </w:rPr>
        <w:t>节能环保支出</w:t>
      </w:r>
      <w:r>
        <w:rPr>
          <w:rFonts w:hint="eastAsia" w:ascii="Times New Roman" w:hAnsi="Times New Roman" w:eastAsia="方正仿宋_GBK" w:cs="Times New Roman"/>
          <w:bCs/>
          <w:kern w:val="2"/>
          <w:sz w:val="32"/>
          <w:szCs w:val="32"/>
          <w:highlight w:val="none"/>
          <w:lang w:val="en-US" w:eastAsia="zh-CN" w:bidi="ar-SA"/>
        </w:rPr>
        <w:t>元600000.00，城乡社区支出2000000.00元，</w:t>
      </w:r>
      <w:r>
        <w:rPr>
          <w:rFonts w:hint="default" w:ascii="Times New Roman" w:hAnsi="Times New Roman" w:eastAsia="方正仿宋_GBK" w:cs="Times New Roman"/>
          <w:bCs/>
          <w:kern w:val="2"/>
          <w:sz w:val="32"/>
          <w:szCs w:val="32"/>
          <w:highlight w:val="none"/>
          <w:lang w:val="en-US" w:eastAsia="zh-CN" w:bidi="ar-SA"/>
        </w:rPr>
        <w:t>资源勘探工业信息等支出</w:t>
      </w:r>
      <w:r>
        <w:rPr>
          <w:rFonts w:hint="eastAsia" w:ascii="Times New Roman" w:hAnsi="Times New Roman" w:eastAsia="方正仿宋_GBK" w:cs="Times New Roman"/>
          <w:bCs/>
          <w:kern w:val="2"/>
          <w:sz w:val="32"/>
          <w:szCs w:val="32"/>
          <w:highlight w:val="none"/>
          <w:lang w:val="en-US" w:eastAsia="zh-CN" w:bidi="ar-SA"/>
        </w:rPr>
        <w:t>29826.86元，</w:t>
      </w:r>
      <w:r>
        <w:rPr>
          <w:rFonts w:hint="default" w:ascii="Times New Roman" w:hAnsi="Times New Roman" w:eastAsia="方正仿宋_GBK" w:cs="Times New Roman"/>
          <w:bCs/>
          <w:kern w:val="2"/>
          <w:sz w:val="32"/>
          <w:szCs w:val="32"/>
          <w:highlight w:val="none"/>
          <w:lang w:val="en-US" w:eastAsia="zh-CN" w:bidi="ar-SA"/>
        </w:rPr>
        <w:t>商业服务业等支出</w:t>
      </w:r>
      <w:r>
        <w:rPr>
          <w:rFonts w:hint="eastAsia" w:ascii="Times New Roman" w:hAnsi="Times New Roman" w:eastAsia="方正仿宋_GBK" w:cs="Times New Roman"/>
          <w:bCs/>
          <w:kern w:val="2"/>
          <w:sz w:val="32"/>
          <w:szCs w:val="32"/>
          <w:highlight w:val="none"/>
          <w:lang w:val="en-US" w:eastAsia="zh-CN" w:bidi="ar-SA"/>
        </w:rPr>
        <w:t>3693000.00元。</w:t>
      </w:r>
    </w:p>
    <w:p w14:paraId="5F48427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eastAsia="zh-CN"/>
        </w:rPr>
        <w:t>三、一般公共预算财政拨款支出决算情况说明</w:t>
      </w:r>
    </w:p>
    <w:p w14:paraId="73F69B0E">
      <w:pPr>
        <w:keepNext w:val="0"/>
        <w:keepLines w:val="0"/>
        <w:pageBreakBefore w:val="0"/>
        <w:kinsoku/>
        <w:overflowPunct/>
        <w:topLinePunct w:val="0"/>
        <w:autoSpaceDE/>
        <w:autoSpaceDN/>
        <w:bidi w:val="0"/>
        <w:spacing w:line="590" w:lineRule="exact"/>
        <w:ind w:firstLine="640" w:firstLineChars="200"/>
        <w:jc w:val="both"/>
        <w:textAlignment w:val="auto"/>
        <w:rPr>
          <w:rFonts w:hint="eastAsia" w:ascii="方正楷体_GBK" w:hAnsi="方正楷体_GBK" w:eastAsia="方正楷体_GBK" w:cs="方正楷体_GBK"/>
          <w:sz w:val="32"/>
          <w:szCs w:val="32"/>
          <w:lang w:val="zh-CN" w:eastAsia="zh-CN"/>
        </w:rPr>
      </w:pPr>
      <w:r>
        <w:rPr>
          <w:rFonts w:hint="eastAsia" w:ascii="方正楷体_GBK" w:hAnsi="方正楷体_GBK" w:eastAsia="方正楷体_GBK" w:cs="方正楷体_GBK"/>
          <w:sz w:val="32"/>
          <w:szCs w:val="32"/>
          <w:lang w:val="zh-CN" w:eastAsia="zh-CN"/>
        </w:rPr>
        <w:t>（一）一般公共预算财政拨款支出决算总体情况</w:t>
      </w:r>
    </w:p>
    <w:p w14:paraId="4C4F3DBA">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zh-CN" w:eastAsia="zh-CN" w:bidi="ar-SA"/>
        </w:rPr>
        <w:t>华宁县工业商贸和科技信息局（本级）</w:t>
      </w:r>
      <w:r>
        <w:rPr>
          <w:rFonts w:hint="eastAsia" w:ascii="Times New Roman" w:hAnsi="Times New Roman" w:eastAsia="方正仿宋_GBK" w:cs="Times New Roman"/>
          <w:bCs/>
          <w:kern w:val="2"/>
          <w:sz w:val="32"/>
          <w:szCs w:val="32"/>
          <w:highlight w:val="none"/>
          <w:lang w:val="en-US" w:eastAsia="zh-CN" w:bidi="ar-SA"/>
        </w:rPr>
        <w:t>2024年度一般公共预算财政拨款支出9954955.5元,占本年支出合计的83.01%。与上年相比增加718454.24元，增长7.78%,完成年初预算的95.91%。主要原因是：本年度财政拨款的项目支出增加。</w:t>
      </w:r>
    </w:p>
    <w:p w14:paraId="127E26FC">
      <w:pPr>
        <w:keepNext w:val="0"/>
        <w:keepLines w:val="0"/>
        <w:pageBreakBefore w:val="0"/>
        <w:widowControl/>
        <w:kinsoku/>
        <w:overflowPunct/>
        <w:topLinePunct w:val="0"/>
        <w:autoSpaceDE/>
        <w:autoSpaceDN/>
        <w:bidi w:val="0"/>
        <w:snapToGrid w:val="0"/>
        <w:spacing w:line="590" w:lineRule="exact"/>
        <w:ind w:firstLine="640" w:firstLineChars="200"/>
        <w:jc w:val="both"/>
        <w:textAlignment w:val="auto"/>
        <w:rPr>
          <w:rFonts w:hint="eastAsia" w:ascii="楷体" w:hAnsi="楷体" w:eastAsia="楷体"/>
          <w:sz w:val="30"/>
          <w:szCs w:val="30"/>
          <w:highlight w:val="none"/>
        </w:rPr>
      </w:pPr>
      <w:r>
        <w:rPr>
          <w:rFonts w:hint="eastAsia" w:ascii="方正楷体_GBK" w:hAnsi="方正楷体_GBK" w:eastAsia="方正楷体_GBK" w:cs="方正楷体_GBK"/>
          <w:sz w:val="32"/>
          <w:szCs w:val="32"/>
          <w:lang w:val="zh-CN" w:eastAsia="zh-CN"/>
        </w:rPr>
        <w:t>（二）一般公共预算财政拨款支出决算分功能分类科目情况</w:t>
      </w:r>
    </w:p>
    <w:p w14:paraId="27A22B37">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zh-CN" w:eastAsia="zh-CN" w:bidi="ar-SA"/>
        </w:rPr>
        <w:t>1.一般公共服务（类）支出3487627.4元，占一般公共预算财政拨款总支出的</w:t>
      </w:r>
      <w:r>
        <w:rPr>
          <w:rFonts w:hint="eastAsia" w:ascii="Times New Roman" w:hAnsi="Times New Roman" w:eastAsia="方正仿宋_GBK" w:cs="Times New Roman"/>
          <w:bCs/>
          <w:kern w:val="2"/>
          <w:sz w:val="32"/>
          <w:szCs w:val="32"/>
          <w:highlight w:val="none"/>
          <w:lang w:val="en-US" w:eastAsia="zh-CN" w:bidi="ar-SA"/>
        </w:rPr>
        <w:t>29.08</w:t>
      </w:r>
      <w:r>
        <w:rPr>
          <w:rFonts w:hint="eastAsia" w:ascii="Times New Roman" w:hAnsi="Times New Roman" w:eastAsia="方正仿宋_GBK" w:cs="Times New Roman"/>
          <w:bCs/>
          <w:kern w:val="2"/>
          <w:sz w:val="32"/>
          <w:szCs w:val="32"/>
          <w:highlight w:val="none"/>
          <w:lang w:val="zh-CN" w:eastAsia="zh-CN" w:bidi="ar-SA"/>
        </w:rPr>
        <w:t>%,完成年初预算的</w:t>
      </w:r>
      <w:r>
        <w:rPr>
          <w:rFonts w:hint="eastAsia" w:ascii="Times New Roman" w:hAnsi="Times New Roman" w:eastAsia="方正仿宋_GBK" w:cs="Times New Roman"/>
          <w:bCs/>
          <w:kern w:val="2"/>
          <w:sz w:val="32"/>
          <w:szCs w:val="32"/>
          <w:highlight w:val="none"/>
          <w:lang w:val="en-US" w:eastAsia="zh-CN" w:bidi="ar-SA"/>
        </w:rPr>
        <w:t>96.77%</w:t>
      </w:r>
      <w:r>
        <w:rPr>
          <w:rFonts w:hint="eastAsia" w:ascii="Times New Roman" w:hAnsi="Times New Roman" w:eastAsia="方正仿宋_GBK" w:cs="Times New Roman"/>
          <w:bCs/>
          <w:kern w:val="2"/>
          <w:sz w:val="32"/>
          <w:szCs w:val="32"/>
          <w:highlight w:val="none"/>
          <w:lang w:val="zh-CN" w:eastAsia="zh-CN" w:bidi="ar-SA"/>
        </w:rPr>
        <w:t>。主要用于：</w:t>
      </w:r>
      <w:r>
        <w:rPr>
          <w:rFonts w:hint="default" w:ascii="Times New Roman" w:hAnsi="Times New Roman" w:eastAsia="方正仿宋_GBK" w:cs="Times New Roman"/>
          <w:bCs/>
          <w:kern w:val="2"/>
          <w:sz w:val="32"/>
          <w:szCs w:val="32"/>
          <w:highlight w:val="none"/>
          <w:lang w:val="zh-CN" w:eastAsia="zh-CN" w:bidi="ar-SA"/>
        </w:rPr>
        <w:t>2010401行政运行（工资福利支出和商品和服务）</w:t>
      </w:r>
      <w:r>
        <w:rPr>
          <w:rFonts w:hint="eastAsia" w:ascii="Times New Roman" w:hAnsi="Times New Roman" w:eastAsia="方正仿宋_GBK" w:cs="Times New Roman"/>
          <w:bCs/>
          <w:kern w:val="2"/>
          <w:sz w:val="32"/>
          <w:szCs w:val="32"/>
          <w:highlight w:val="none"/>
          <w:lang w:val="zh-CN" w:eastAsia="zh-CN" w:bidi="ar-SA"/>
        </w:rPr>
        <w:t>；造成预决算差异的主要原因是：</w:t>
      </w:r>
      <w:r>
        <w:rPr>
          <w:rFonts w:hint="eastAsia" w:ascii="Times New Roman" w:hAnsi="Times New Roman" w:eastAsia="方正仿宋_GBK" w:cs="Times New Roman"/>
          <w:bCs/>
          <w:kern w:val="2"/>
          <w:sz w:val="32"/>
          <w:szCs w:val="32"/>
          <w:highlight w:val="none"/>
          <w:lang w:val="en-US" w:eastAsia="zh-CN" w:bidi="ar-SA"/>
        </w:rPr>
        <w:t>在职在编职工调整保险基数，事业人员正常晋薪等</w:t>
      </w:r>
      <w:r>
        <w:rPr>
          <w:rFonts w:hint="eastAsia" w:ascii="Times New Roman" w:hAnsi="Times New Roman" w:eastAsia="方正仿宋_GBK" w:cs="Times New Roman"/>
          <w:bCs/>
          <w:kern w:val="2"/>
          <w:sz w:val="32"/>
          <w:szCs w:val="32"/>
          <w:highlight w:val="none"/>
          <w:lang w:val="zh-CN" w:eastAsia="zh-CN" w:bidi="ar-SA"/>
        </w:rPr>
        <w:t>。</w:t>
      </w:r>
    </w:p>
    <w:p w14:paraId="580D03D1">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zh-CN" w:eastAsia="zh-CN" w:bidi="ar-SA"/>
        </w:rPr>
        <w:t>2.外交（类）支出</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元，占一般公共预算财政拨款总支出的</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%,完成年初预算的</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w:t>
      </w:r>
    </w:p>
    <w:p w14:paraId="7049CE89">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zh-CN" w:eastAsia="zh-CN" w:bidi="ar-SA"/>
        </w:rPr>
        <w:t>3.国防（类）支出</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元，占一般公共预算财政拨款总支出的</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%,完成年初预算的</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w:t>
      </w:r>
    </w:p>
    <w:p w14:paraId="7F7A57F1">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zh-CN" w:eastAsia="zh-CN" w:bidi="ar-SA"/>
        </w:rPr>
        <w:t>4.公共安全（类）支出XX元，占一般公共预算财政拨款总支出的</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%,完成年初预算的</w:t>
      </w:r>
      <w:r>
        <w:rPr>
          <w:rFonts w:hint="eastAsia" w:ascii="Times New Roman" w:hAnsi="Times New Roman" w:eastAsia="方正仿宋_GBK" w:cs="Times New Roman"/>
          <w:bCs/>
          <w:kern w:val="2"/>
          <w:sz w:val="32"/>
          <w:szCs w:val="32"/>
          <w:highlight w:val="none"/>
          <w:lang w:val="en-US" w:eastAsia="zh-CN" w:bidi="ar-SA"/>
        </w:rPr>
        <w:t>X0.00%</w:t>
      </w:r>
      <w:r>
        <w:rPr>
          <w:rFonts w:hint="eastAsia" w:ascii="Times New Roman" w:hAnsi="Times New Roman" w:eastAsia="方正仿宋_GBK" w:cs="Times New Roman"/>
          <w:bCs/>
          <w:kern w:val="2"/>
          <w:sz w:val="32"/>
          <w:szCs w:val="32"/>
          <w:highlight w:val="none"/>
          <w:lang w:val="zh-CN" w:eastAsia="zh-CN" w:bidi="ar-SA"/>
        </w:rPr>
        <w:t>。</w:t>
      </w:r>
    </w:p>
    <w:p w14:paraId="791F48AF">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5.</w:t>
      </w:r>
      <w:r>
        <w:rPr>
          <w:rFonts w:hint="default" w:ascii="Times New Roman" w:hAnsi="Times New Roman" w:eastAsia="方正仿宋_GBK" w:cs="Times New Roman"/>
          <w:bCs/>
          <w:kern w:val="2"/>
          <w:sz w:val="32"/>
          <w:szCs w:val="32"/>
          <w:highlight w:val="none"/>
          <w:lang w:val="en-US" w:eastAsia="zh-CN" w:bidi="ar-SA"/>
        </w:rPr>
        <w:t>社会保障和就业（类）支出1284383.32元，占一般公共预算财政拨款总支出的10.</w:t>
      </w:r>
      <w:r>
        <w:rPr>
          <w:rFonts w:hint="eastAsia" w:ascii="Times New Roman" w:hAnsi="Times New Roman" w:eastAsia="方正仿宋_GBK" w:cs="Times New Roman"/>
          <w:bCs/>
          <w:kern w:val="2"/>
          <w:sz w:val="32"/>
          <w:szCs w:val="32"/>
          <w:highlight w:val="none"/>
          <w:lang w:val="en-US" w:eastAsia="zh-CN" w:bidi="ar-SA"/>
        </w:rPr>
        <w:t>71</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，完成年初预算的116.16%。</w:t>
      </w:r>
      <w:r>
        <w:rPr>
          <w:rFonts w:hint="default" w:ascii="Times New Roman" w:hAnsi="Times New Roman" w:eastAsia="方正仿宋_GBK" w:cs="Times New Roman"/>
          <w:bCs/>
          <w:kern w:val="2"/>
          <w:sz w:val="32"/>
          <w:szCs w:val="32"/>
          <w:highlight w:val="none"/>
          <w:lang w:val="en-US" w:eastAsia="zh-CN" w:bidi="ar-SA"/>
        </w:rPr>
        <w:t>主要用于2080505机关事业单位基本养老保险缴费支出431658.72元，2080801死亡抚恤</w:t>
      </w:r>
      <w:r>
        <w:rPr>
          <w:rFonts w:hint="eastAsia" w:ascii="Times New Roman" w:hAnsi="Times New Roman" w:eastAsia="方正仿宋_GBK" w:cs="Times New Roman"/>
          <w:bCs/>
          <w:kern w:val="2"/>
          <w:sz w:val="32"/>
          <w:szCs w:val="32"/>
          <w:highlight w:val="none"/>
          <w:lang w:val="en-US" w:eastAsia="zh-CN" w:bidi="ar-SA"/>
        </w:rPr>
        <w:t>852724.6</w:t>
      </w:r>
      <w:r>
        <w:rPr>
          <w:rFonts w:hint="default" w:ascii="Times New Roman" w:hAnsi="Times New Roman" w:eastAsia="方正仿宋_GBK" w:cs="Times New Roman"/>
          <w:bCs/>
          <w:kern w:val="2"/>
          <w:sz w:val="32"/>
          <w:szCs w:val="32"/>
          <w:highlight w:val="none"/>
          <w:lang w:val="en-US" w:eastAsia="zh-CN" w:bidi="ar-SA"/>
        </w:rPr>
        <w:t>元</w:t>
      </w:r>
      <w:r>
        <w:rPr>
          <w:rFonts w:hint="eastAsia" w:ascii="Times New Roman" w:hAnsi="Times New Roman" w:eastAsia="方正仿宋_GBK" w:cs="Times New Roman"/>
          <w:bCs/>
          <w:kern w:val="2"/>
          <w:sz w:val="32"/>
          <w:szCs w:val="32"/>
          <w:highlight w:val="none"/>
          <w:lang w:val="en-US" w:eastAsia="zh-CN" w:bidi="ar-SA"/>
        </w:rPr>
        <w:t>，造成预决算差异的主要原因是：在职在编职工调整养老保险基数。</w:t>
      </w:r>
    </w:p>
    <w:p w14:paraId="1276E570">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6.</w:t>
      </w:r>
      <w:r>
        <w:rPr>
          <w:rFonts w:hint="default" w:ascii="Times New Roman" w:hAnsi="Times New Roman" w:eastAsia="方正仿宋_GBK" w:cs="Times New Roman"/>
          <w:bCs/>
          <w:kern w:val="2"/>
          <w:sz w:val="32"/>
          <w:szCs w:val="32"/>
          <w:highlight w:val="none"/>
          <w:lang w:val="en-US" w:eastAsia="zh-CN" w:bidi="ar-SA"/>
        </w:rPr>
        <w:t>节能环保（类）支出600000元，占一般公共预算财政拨款总支出的0.5%</w:t>
      </w:r>
      <w:r>
        <w:rPr>
          <w:rFonts w:hint="eastAsia" w:ascii="Times New Roman" w:hAnsi="Times New Roman" w:eastAsia="方正仿宋_GBK" w:cs="Times New Roman"/>
          <w:bCs/>
          <w:kern w:val="2"/>
          <w:sz w:val="32"/>
          <w:szCs w:val="32"/>
          <w:highlight w:val="none"/>
          <w:lang w:val="en-US" w:eastAsia="zh-CN" w:bidi="ar-SA"/>
        </w:rPr>
        <w:t>，无</w:t>
      </w:r>
      <w:r>
        <w:rPr>
          <w:rFonts w:hint="eastAsia" w:ascii="Times New Roman" w:hAnsi="Times New Roman" w:eastAsia="方正仿宋_GBK" w:cs="Times New Roman"/>
          <w:bCs/>
          <w:kern w:val="2"/>
          <w:sz w:val="32"/>
          <w:szCs w:val="32"/>
          <w:highlight w:val="none"/>
          <w:lang w:val="zh-CN" w:eastAsia="zh-CN" w:bidi="ar-SA"/>
        </w:rPr>
        <w:t>年初预算</w:t>
      </w:r>
      <w:r>
        <w:rPr>
          <w:rFonts w:hint="default" w:ascii="Times New Roman" w:hAnsi="Times New Roman" w:eastAsia="方正仿宋_GBK" w:cs="Times New Roman"/>
          <w:bCs/>
          <w:kern w:val="2"/>
          <w:sz w:val="32"/>
          <w:szCs w:val="32"/>
          <w:highlight w:val="none"/>
          <w:lang w:val="en-US" w:eastAsia="zh-CN" w:bidi="ar-SA"/>
        </w:rPr>
        <w:t>。主要用于</w:t>
      </w:r>
      <w:r>
        <w:rPr>
          <w:rFonts w:hint="default" w:ascii="Times New Roman" w:hAnsi="Times New Roman" w:eastAsia="方正仿宋_GBK" w:cs="Times New Roman"/>
          <w:bCs/>
          <w:kern w:val="2"/>
          <w:sz w:val="32"/>
          <w:szCs w:val="32"/>
          <w:highlight w:val="none"/>
          <w:lang w:val="zh-CN" w:eastAsia="zh-CN" w:bidi="ar-SA"/>
        </w:rPr>
        <w:t>2110301</w:t>
      </w:r>
      <w:r>
        <w:rPr>
          <w:rFonts w:hint="eastAsia" w:ascii="Times New Roman" w:hAnsi="Times New Roman" w:eastAsia="方正仿宋_GBK" w:cs="Times New Roman"/>
          <w:bCs/>
          <w:kern w:val="2"/>
          <w:sz w:val="32"/>
          <w:szCs w:val="32"/>
          <w:highlight w:val="none"/>
          <w:lang w:val="en-US" w:eastAsia="zh-CN" w:bidi="ar-SA"/>
        </w:rPr>
        <w:t>大气</w:t>
      </w:r>
      <w:r>
        <w:rPr>
          <w:rFonts w:hint="default" w:ascii="Times New Roman" w:hAnsi="Times New Roman" w:eastAsia="方正仿宋_GBK" w:cs="Times New Roman"/>
          <w:bCs/>
          <w:kern w:val="2"/>
          <w:sz w:val="32"/>
          <w:szCs w:val="32"/>
          <w:highlight w:val="none"/>
          <w:lang w:val="zh-CN" w:eastAsia="zh-CN" w:bidi="ar-SA"/>
        </w:rPr>
        <w:t>支出</w:t>
      </w:r>
      <w:r>
        <w:rPr>
          <w:rFonts w:hint="default" w:ascii="Times New Roman" w:hAnsi="Times New Roman" w:eastAsia="方正仿宋_GBK" w:cs="Times New Roman"/>
          <w:bCs/>
          <w:kern w:val="2"/>
          <w:sz w:val="32"/>
          <w:szCs w:val="32"/>
          <w:highlight w:val="none"/>
          <w:lang w:val="en-US" w:eastAsia="zh-CN" w:bidi="ar-SA"/>
        </w:rPr>
        <w:t>600000</w:t>
      </w:r>
      <w:r>
        <w:rPr>
          <w:rFonts w:hint="default" w:ascii="Times New Roman" w:hAnsi="Times New Roman" w:eastAsia="方正仿宋_GBK" w:cs="Times New Roman"/>
          <w:bCs/>
          <w:kern w:val="2"/>
          <w:sz w:val="32"/>
          <w:szCs w:val="32"/>
          <w:highlight w:val="none"/>
          <w:lang w:val="zh-CN" w:eastAsia="zh-CN" w:bidi="ar-SA"/>
        </w:rPr>
        <w:t>元</w:t>
      </w:r>
      <w:r>
        <w:rPr>
          <w:rFonts w:hint="eastAsia" w:ascii="Times New Roman" w:hAnsi="Times New Roman" w:eastAsia="方正仿宋_GBK" w:cs="Times New Roman"/>
          <w:bCs/>
          <w:kern w:val="2"/>
          <w:sz w:val="32"/>
          <w:szCs w:val="32"/>
          <w:highlight w:val="none"/>
          <w:lang w:val="en-US" w:eastAsia="zh-CN" w:bidi="ar-SA"/>
        </w:rPr>
        <w:t>。</w:t>
      </w:r>
    </w:p>
    <w:p w14:paraId="2977579D">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7.城乡社区</w:t>
      </w:r>
      <w:r>
        <w:rPr>
          <w:rFonts w:hint="default" w:ascii="Times New Roman" w:hAnsi="Times New Roman" w:eastAsia="方正仿宋_GBK" w:cs="Times New Roman"/>
          <w:bCs/>
          <w:kern w:val="2"/>
          <w:sz w:val="32"/>
          <w:szCs w:val="32"/>
          <w:highlight w:val="none"/>
          <w:lang w:val="en-US" w:eastAsia="zh-CN" w:bidi="ar-SA"/>
        </w:rPr>
        <w:t>（类）</w:t>
      </w:r>
      <w:r>
        <w:rPr>
          <w:rFonts w:hint="eastAsia" w:ascii="Times New Roman" w:hAnsi="Times New Roman" w:eastAsia="方正仿宋_GBK" w:cs="Times New Roman"/>
          <w:bCs/>
          <w:kern w:val="2"/>
          <w:sz w:val="32"/>
          <w:szCs w:val="32"/>
          <w:highlight w:val="none"/>
          <w:lang w:val="en-US" w:eastAsia="zh-CN" w:bidi="ar-SA"/>
        </w:rPr>
        <w:t>支出2000000元，</w:t>
      </w:r>
      <w:r>
        <w:rPr>
          <w:rFonts w:hint="default" w:ascii="Times New Roman" w:hAnsi="Times New Roman" w:eastAsia="方正仿宋_GBK" w:cs="Times New Roman"/>
          <w:bCs/>
          <w:kern w:val="2"/>
          <w:sz w:val="32"/>
          <w:szCs w:val="32"/>
          <w:highlight w:val="none"/>
          <w:lang w:val="en-US" w:eastAsia="zh-CN" w:bidi="ar-SA"/>
        </w:rPr>
        <w:t>占一般公共预算财政拨款总支出的</w:t>
      </w:r>
      <w:r>
        <w:rPr>
          <w:rFonts w:hint="eastAsia" w:ascii="Times New Roman" w:hAnsi="Times New Roman" w:eastAsia="方正仿宋_GBK" w:cs="Times New Roman"/>
          <w:bCs/>
          <w:kern w:val="2"/>
          <w:sz w:val="32"/>
          <w:szCs w:val="32"/>
          <w:highlight w:val="none"/>
          <w:lang w:val="en-US" w:eastAsia="zh-CN" w:bidi="ar-SA"/>
        </w:rPr>
        <w:t>16.68</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，无</w:t>
      </w:r>
      <w:r>
        <w:rPr>
          <w:rFonts w:hint="eastAsia" w:ascii="Times New Roman" w:hAnsi="Times New Roman" w:eastAsia="方正仿宋_GBK" w:cs="Times New Roman"/>
          <w:bCs/>
          <w:kern w:val="2"/>
          <w:sz w:val="32"/>
          <w:szCs w:val="32"/>
          <w:highlight w:val="none"/>
          <w:lang w:val="zh-CN" w:eastAsia="zh-CN" w:bidi="ar-SA"/>
        </w:rPr>
        <w:t>年初预算</w:t>
      </w:r>
      <w:r>
        <w:rPr>
          <w:rFonts w:hint="default" w:ascii="Times New Roman" w:hAnsi="Times New Roman" w:eastAsia="方正仿宋_GBK" w:cs="Times New Roman"/>
          <w:bCs/>
          <w:kern w:val="2"/>
          <w:sz w:val="32"/>
          <w:szCs w:val="32"/>
          <w:highlight w:val="none"/>
          <w:lang w:val="en-US" w:eastAsia="zh-CN" w:bidi="ar-SA"/>
        </w:rPr>
        <w:t>。主要用于</w:t>
      </w:r>
      <w:r>
        <w:rPr>
          <w:rFonts w:hint="eastAsia" w:ascii="Times New Roman" w:hAnsi="Times New Roman" w:eastAsia="方正仿宋_GBK" w:cs="Times New Roman"/>
          <w:bCs/>
          <w:kern w:val="2"/>
          <w:sz w:val="32"/>
          <w:szCs w:val="32"/>
          <w:highlight w:val="none"/>
          <w:lang w:val="en-US" w:eastAsia="zh-CN" w:bidi="ar-SA"/>
        </w:rPr>
        <w:t>2120899其他国有土地使用权出让收入安排的支出2000000</w:t>
      </w:r>
      <w:r>
        <w:rPr>
          <w:rFonts w:hint="default" w:ascii="Times New Roman" w:hAnsi="Times New Roman" w:eastAsia="方正仿宋_GBK" w:cs="Times New Roman"/>
          <w:bCs/>
          <w:kern w:val="2"/>
          <w:sz w:val="32"/>
          <w:szCs w:val="32"/>
          <w:highlight w:val="none"/>
          <w:lang w:val="zh-CN" w:eastAsia="zh-CN" w:bidi="ar-SA"/>
        </w:rPr>
        <w:t>元</w:t>
      </w:r>
      <w:r>
        <w:rPr>
          <w:rFonts w:hint="eastAsia" w:ascii="Times New Roman" w:hAnsi="Times New Roman" w:eastAsia="方正仿宋_GBK" w:cs="Times New Roman"/>
          <w:bCs/>
          <w:kern w:val="2"/>
          <w:sz w:val="32"/>
          <w:szCs w:val="32"/>
          <w:highlight w:val="none"/>
          <w:lang w:val="en-US" w:eastAsia="zh-CN" w:bidi="ar-SA"/>
        </w:rPr>
        <w:t>.</w:t>
      </w:r>
    </w:p>
    <w:p w14:paraId="2A497ADD">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8.资源勘探工业信息等</w:t>
      </w:r>
      <w:r>
        <w:rPr>
          <w:rFonts w:hint="default" w:ascii="Times New Roman" w:hAnsi="Times New Roman" w:eastAsia="方正仿宋_GBK" w:cs="Times New Roman"/>
          <w:bCs/>
          <w:kern w:val="2"/>
          <w:sz w:val="32"/>
          <w:szCs w:val="32"/>
          <w:highlight w:val="none"/>
          <w:lang w:val="en-US" w:eastAsia="zh-CN" w:bidi="ar-SA"/>
        </w:rPr>
        <w:t>（类）</w:t>
      </w:r>
      <w:r>
        <w:rPr>
          <w:rFonts w:hint="eastAsia" w:ascii="Times New Roman" w:hAnsi="Times New Roman" w:eastAsia="方正仿宋_GBK" w:cs="Times New Roman"/>
          <w:bCs/>
          <w:kern w:val="2"/>
          <w:sz w:val="32"/>
          <w:szCs w:val="32"/>
          <w:highlight w:val="none"/>
          <w:lang w:val="en-US" w:eastAsia="zh-CN" w:bidi="ar-SA"/>
        </w:rPr>
        <w:t>支出29826.86元,</w:t>
      </w:r>
      <w:r>
        <w:rPr>
          <w:rFonts w:hint="default" w:ascii="Times New Roman" w:hAnsi="Times New Roman" w:eastAsia="方正仿宋_GBK" w:cs="Times New Roman"/>
          <w:bCs/>
          <w:kern w:val="2"/>
          <w:sz w:val="32"/>
          <w:szCs w:val="32"/>
          <w:highlight w:val="none"/>
          <w:lang w:val="en-US" w:eastAsia="zh-CN" w:bidi="ar-SA"/>
        </w:rPr>
        <w:t>占一般公共预算财政拨款总支出的</w:t>
      </w:r>
      <w:r>
        <w:rPr>
          <w:rFonts w:hint="eastAsia" w:ascii="Times New Roman" w:hAnsi="Times New Roman" w:eastAsia="方正仿宋_GBK" w:cs="Times New Roman"/>
          <w:bCs/>
          <w:kern w:val="2"/>
          <w:sz w:val="32"/>
          <w:szCs w:val="32"/>
          <w:highlight w:val="none"/>
          <w:lang w:val="en-US" w:eastAsia="zh-CN" w:bidi="ar-SA"/>
        </w:rPr>
        <w:t>0.25</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，无</w:t>
      </w:r>
      <w:r>
        <w:rPr>
          <w:rFonts w:hint="eastAsia" w:ascii="Times New Roman" w:hAnsi="Times New Roman" w:eastAsia="方正仿宋_GBK" w:cs="Times New Roman"/>
          <w:bCs/>
          <w:kern w:val="2"/>
          <w:sz w:val="32"/>
          <w:szCs w:val="32"/>
          <w:highlight w:val="none"/>
          <w:lang w:val="zh-CN" w:eastAsia="zh-CN" w:bidi="ar-SA"/>
        </w:rPr>
        <w:t>年初预算</w:t>
      </w:r>
      <w:r>
        <w:rPr>
          <w:rFonts w:hint="default" w:ascii="Times New Roman" w:hAnsi="Times New Roman" w:eastAsia="方正仿宋_GBK" w:cs="Times New Roman"/>
          <w:bCs/>
          <w:kern w:val="2"/>
          <w:sz w:val="32"/>
          <w:szCs w:val="32"/>
          <w:highlight w:val="none"/>
          <w:lang w:val="en-US" w:eastAsia="zh-CN" w:bidi="ar-SA"/>
        </w:rPr>
        <w:t>。主要用于</w:t>
      </w:r>
      <w:r>
        <w:rPr>
          <w:rFonts w:hint="eastAsia" w:ascii="Times New Roman" w:hAnsi="Times New Roman" w:eastAsia="方正仿宋_GBK" w:cs="Times New Roman"/>
          <w:bCs/>
          <w:kern w:val="2"/>
          <w:sz w:val="32"/>
          <w:szCs w:val="32"/>
          <w:highlight w:val="none"/>
          <w:lang w:val="en-US" w:eastAsia="zh-CN" w:bidi="ar-SA"/>
        </w:rPr>
        <w:t>2150599其他工业和信息产业监管支出29826.86</w:t>
      </w:r>
      <w:r>
        <w:rPr>
          <w:rFonts w:hint="default" w:ascii="Times New Roman" w:hAnsi="Times New Roman" w:eastAsia="方正仿宋_GBK" w:cs="Times New Roman"/>
          <w:bCs/>
          <w:kern w:val="2"/>
          <w:sz w:val="32"/>
          <w:szCs w:val="32"/>
          <w:highlight w:val="none"/>
          <w:lang w:val="zh-CN" w:eastAsia="zh-CN" w:bidi="ar-SA"/>
        </w:rPr>
        <w:t>元</w:t>
      </w:r>
      <w:r>
        <w:rPr>
          <w:rFonts w:hint="eastAsia" w:ascii="Times New Roman" w:hAnsi="Times New Roman" w:eastAsia="方正仿宋_GBK" w:cs="Times New Roman"/>
          <w:bCs/>
          <w:kern w:val="2"/>
          <w:sz w:val="32"/>
          <w:szCs w:val="32"/>
          <w:highlight w:val="none"/>
          <w:lang w:val="en-US" w:eastAsia="zh-CN" w:bidi="ar-SA"/>
        </w:rPr>
        <w:t>.</w:t>
      </w:r>
    </w:p>
    <w:p w14:paraId="6C5B49A7">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9.</w:t>
      </w:r>
      <w:r>
        <w:rPr>
          <w:rFonts w:hint="default" w:ascii="Times New Roman" w:hAnsi="Times New Roman" w:eastAsia="方正仿宋_GBK" w:cs="Times New Roman"/>
          <w:bCs/>
          <w:kern w:val="2"/>
          <w:sz w:val="32"/>
          <w:szCs w:val="32"/>
          <w:highlight w:val="none"/>
          <w:lang w:val="en-US" w:eastAsia="zh-CN" w:bidi="ar-SA"/>
        </w:rPr>
        <w:t>卫生健康（类）支出638685.01元，占一般公共预算财政拨款总支出的5.</w:t>
      </w:r>
      <w:r>
        <w:rPr>
          <w:rFonts w:hint="eastAsia" w:ascii="Times New Roman" w:hAnsi="Times New Roman" w:eastAsia="方正仿宋_GBK" w:cs="Times New Roman"/>
          <w:bCs/>
          <w:kern w:val="2"/>
          <w:sz w:val="32"/>
          <w:szCs w:val="32"/>
          <w:highlight w:val="none"/>
          <w:lang w:val="en-US" w:eastAsia="zh-CN" w:bidi="ar-SA"/>
        </w:rPr>
        <w:t>33</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，完成年初预算的116.16%。</w:t>
      </w:r>
      <w:r>
        <w:rPr>
          <w:rFonts w:hint="default" w:ascii="Times New Roman" w:hAnsi="Times New Roman" w:eastAsia="方正仿宋_GBK" w:cs="Times New Roman"/>
          <w:bCs/>
          <w:kern w:val="2"/>
          <w:sz w:val="32"/>
          <w:szCs w:val="32"/>
          <w:highlight w:val="none"/>
          <w:lang w:val="en-US" w:eastAsia="zh-CN" w:bidi="ar-SA"/>
        </w:rPr>
        <w:t>主要用于2101101行政单位医疗323656.62元，2101103公务员医疗补助278423.76元，2101199其他行政事业单位医疗支出36604.63元</w:t>
      </w:r>
      <w:r>
        <w:rPr>
          <w:rFonts w:hint="eastAsia" w:ascii="Times New Roman" w:hAnsi="Times New Roman" w:eastAsia="方正仿宋_GBK" w:cs="Times New Roman"/>
          <w:bCs/>
          <w:kern w:val="2"/>
          <w:sz w:val="32"/>
          <w:szCs w:val="32"/>
          <w:highlight w:val="none"/>
          <w:lang w:val="en-US" w:eastAsia="zh-CN" w:bidi="ar-SA"/>
        </w:rPr>
        <w:t>，造成预决算差异的主要原因是：在职在编职工调整医疗保险，公务员补助等保险基数。</w:t>
      </w:r>
    </w:p>
    <w:p w14:paraId="335BF297">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default"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10.</w:t>
      </w:r>
      <w:r>
        <w:rPr>
          <w:rFonts w:hint="default" w:ascii="Times New Roman" w:hAnsi="Times New Roman" w:eastAsia="方正仿宋_GBK" w:cs="Times New Roman"/>
          <w:bCs/>
          <w:kern w:val="2"/>
          <w:sz w:val="32"/>
          <w:szCs w:val="32"/>
          <w:highlight w:val="none"/>
          <w:lang w:val="en-US" w:eastAsia="zh-CN" w:bidi="ar-SA"/>
        </w:rPr>
        <w:t>住房保障支出（类）支出258900元，占一般公共预算财政拨款总支出的</w:t>
      </w:r>
      <w:r>
        <w:rPr>
          <w:rFonts w:hint="eastAsia" w:ascii="Times New Roman" w:hAnsi="Times New Roman" w:eastAsia="方正仿宋_GBK" w:cs="Times New Roman"/>
          <w:bCs/>
          <w:kern w:val="2"/>
          <w:sz w:val="32"/>
          <w:szCs w:val="32"/>
          <w:highlight w:val="none"/>
          <w:lang w:val="en-US" w:eastAsia="zh-CN" w:bidi="ar-SA"/>
        </w:rPr>
        <w:t>2.16</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，完成年初预算的63.03%。</w:t>
      </w:r>
      <w:r>
        <w:rPr>
          <w:rFonts w:hint="default" w:ascii="Times New Roman" w:hAnsi="Times New Roman" w:eastAsia="方正仿宋_GBK" w:cs="Times New Roman"/>
          <w:bCs/>
          <w:kern w:val="2"/>
          <w:sz w:val="32"/>
          <w:szCs w:val="32"/>
          <w:highlight w:val="none"/>
          <w:lang w:val="en-US" w:eastAsia="zh-CN" w:bidi="ar-SA"/>
        </w:rPr>
        <w:t>。主要用于</w:t>
      </w:r>
      <w:r>
        <w:rPr>
          <w:rFonts w:hint="eastAsia" w:ascii="Times New Roman" w:hAnsi="Times New Roman" w:eastAsia="方正仿宋_GBK" w:cs="Times New Roman"/>
          <w:bCs/>
          <w:kern w:val="2"/>
          <w:sz w:val="32"/>
          <w:szCs w:val="32"/>
          <w:highlight w:val="none"/>
          <w:lang w:val="en-US" w:eastAsia="zh-CN" w:bidi="ar-SA"/>
        </w:rPr>
        <w:t>2210201住房公积金</w:t>
      </w:r>
      <w:r>
        <w:rPr>
          <w:rFonts w:hint="default" w:ascii="Times New Roman" w:hAnsi="Times New Roman" w:eastAsia="方正仿宋_GBK" w:cs="Times New Roman"/>
          <w:bCs/>
          <w:kern w:val="2"/>
          <w:sz w:val="32"/>
          <w:szCs w:val="32"/>
          <w:highlight w:val="none"/>
          <w:lang w:val="en-US" w:eastAsia="zh-CN" w:bidi="ar-SA"/>
        </w:rPr>
        <w:t>258900，</w:t>
      </w:r>
      <w:r>
        <w:rPr>
          <w:rFonts w:hint="eastAsia" w:ascii="Times New Roman" w:hAnsi="Times New Roman" w:eastAsia="方正仿宋_GBK" w:cs="Times New Roman"/>
          <w:bCs/>
          <w:kern w:val="2"/>
          <w:sz w:val="32"/>
          <w:szCs w:val="32"/>
          <w:highlight w:val="none"/>
          <w:lang w:val="en-US" w:eastAsia="zh-CN" w:bidi="ar-SA"/>
        </w:rPr>
        <w:t>造成预决算差异的主要原因是：在职在编职工调整住房公积金基数及退休1人。</w:t>
      </w:r>
    </w:p>
    <w:p w14:paraId="019A503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黑体_GBK" w:cs="Times New Roman"/>
          <w:sz w:val="32"/>
          <w:szCs w:val="32"/>
          <w:highlight w:val="none"/>
          <w:lang w:eastAsia="zh-CN"/>
        </w:rPr>
      </w:pPr>
      <w:r>
        <w:rPr>
          <w:rFonts w:hint="eastAsia" w:eastAsia="方正黑体_GBK" w:cs="Times New Roman"/>
          <w:sz w:val="32"/>
          <w:szCs w:val="32"/>
          <w:highlight w:val="none"/>
          <w:lang w:eastAsia="zh-CN"/>
        </w:rPr>
        <w:t>四、</w:t>
      </w:r>
      <w:r>
        <w:rPr>
          <w:rFonts w:hint="eastAsia" w:ascii="Times New Roman" w:hAnsi="Times New Roman" w:eastAsia="方正黑体_GBK" w:cs="Times New Roman"/>
          <w:sz w:val="32"/>
          <w:szCs w:val="32"/>
          <w:highlight w:val="none"/>
          <w:lang w:eastAsia="zh-CN"/>
        </w:rPr>
        <w:t>财政拨款“三公”经费支出决算情况说明</w:t>
      </w:r>
    </w:p>
    <w:p w14:paraId="6FF4D388">
      <w:pPr>
        <w:keepNext w:val="0"/>
        <w:keepLines w:val="0"/>
        <w:pageBreakBefore w:val="0"/>
        <w:kinsoku/>
        <w:overflowPunct/>
        <w:topLinePunct w:val="0"/>
        <w:autoSpaceDE/>
        <w:autoSpaceDN/>
        <w:bidi w:val="0"/>
        <w:spacing w:line="59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（一）总体情况</w:t>
      </w:r>
    </w:p>
    <w:p w14:paraId="1B1B280C">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en-US" w:eastAsia="zh-CN" w:bidi="ar-SA"/>
        </w:rPr>
        <w:t>2024</w:t>
      </w:r>
      <w:r>
        <w:rPr>
          <w:rFonts w:hint="eastAsia" w:ascii="Times New Roman" w:hAnsi="Times New Roman" w:eastAsia="方正仿宋_GBK" w:cs="Times New Roman"/>
          <w:bCs/>
          <w:kern w:val="2"/>
          <w:sz w:val="32"/>
          <w:szCs w:val="32"/>
          <w:highlight w:val="none"/>
          <w:lang w:val="zh-CN" w:eastAsia="zh-CN" w:bidi="ar-SA"/>
        </w:rPr>
        <w:t>年度财政拨款“三公”经费支出决算中，财政拨款“三公”经费支出年初预算为</w:t>
      </w:r>
      <w:r>
        <w:rPr>
          <w:rFonts w:hint="eastAsia" w:ascii="Times New Roman" w:hAnsi="Times New Roman" w:eastAsia="方正仿宋_GBK" w:cs="Times New Roman"/>
          <w:bCs/>
          <w:kern w:val="2"/>
          <w:sz w:val="32"/>
          <w:szCs w:val="32"/>
          <w:highlight w:val="none"/>
          <w:lang w:val="en-US" w:eastAsia="zh-CN" w:bidi="ar-SA"/>
        </w:rPr>
        <w:t>34400.00</w:t>
      </w:r>
      <w:r>
        <w:rPr>
          <w:rFonts w:hint="eastAsia" w:ascii="Times New Roman" w:hAnsi="Times New Roman" w:eastAsia="方正仿宋_GBK" w:cs="Times New Roman"/>
          <w:bCs/>
          <w:kern w:val="2"/>
          <w:sz w:val="32"/>
          <w:szCs w:val="32"/>
          <w:highlight w:val="none"/>
          <w:lang w:val="zh-CN" w:eastAsia="zh-CN" w:bidi="ar-SA"/>
        </w:rPr>
        <w:t>元，决算为</w:t>
      </w:r>
      <w:r>
        <w:rPr>
          <w:rFonts w:hint="eastAsia" w:ascii="Times New Roman" w:hAnsi="Times New Roman" w:eastAsia="方正仿宋_GBK" w:cs="Times New Roman"/>
          <w:bCs/>
          <w:kern w:val="2"/>
          <w:sz w:val="32"/>
          <w:szCs w:val="32"/>
          <w:highlight w:val="none"/>
          <w:lang w:val="en-US" w:eastAsia="zh-CN" w:bidi="ar-SA"/>
        </w:rPr>
        <w:t>5</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657.00</w:t>
      </w:r>
      <w:r>
        <w:rPr>
          <w:rFonts w:hint="eastAsia" w:ascii="Times New Roman" w:hAnsi="Times New Roman" w:eastAsia="方正仿宋_GBK" w:cs="Times New Roman"/>
          <w:bCs/>
          <w:kern w:val="2"/>
          <w:sz w:val="32"/>
          <w:szCs w:val="32"/>
          <w:highlight w:val="none"/>
          <w:lang w:val="zh-CN" w:eastAsia="zh-CN" w:bidi="ar-SA"/>
        </w:rPr>
        <w:t>元，完成年初预算的</w:t>
      </w:r>
      <w:r>
        <w:rPr>
          <w:rFonts w:hint="eastAsia" w:ascii="Times New Roman" w:hAnsi="Times New Roman" w:eastAsia="方正仿宋_GBK" w:cs="Times New Roman"/>
          <w:bCs/>
          <w:kern w:val="2"/>
          <w:sz w:val="32"/>
          <w:szCs w:val="32"/>
          <w:highlight w:val="none"/>
          <w:lang w:val="en-US" w:eastAsia="zh-CN" w:bidi="ar-SA"/>
        </w:rPr>
        <w:t>16.44</w:t>
      </w:r>
      <w:r>
        <w:rPr>
          <w:rFonts w:hint="eastAsia" w:ascii="Times New Roman" w:hAnsi="Times New Roman" w:eastAsia="方正仿宋_GBK" w:cs="Times New Roman"/>
          <w:bCs/>
          <w:kern w:val="2"/>
          <w:sz w:val="32"/>
          <w:szCs w:val="32"/>
          <w:highlight w:val="none"/>
          <w:lang w:val="zh-CN" w:eastAsia="zh-CN" w:bidi="ar-SA"/>
        </w:rPr>
        <w:t>%；支出决算较上年</w:t>
      </w:r>
      <w:r>
        <w:rPr>
          <w:rFonts w:hint="eastAsia" w:ascii="Times New Roman" w:hAnsi="Times New Roman" w:eastAsia="方正仿宋_GBK" w:cs="Times New Roman"/>
          <w:bCs/>
          <w:kern w:val="2"/>
          <w:sz w:val="32"/>
          <w:szCs w:val="32"/>
          <w:highlight w:val="none"/>
          <w:lang w:val="en-US" w:eastAsia="zh-CN" w:bidi="ar-SA"/>
        </w:rPr>
        <w:t>减少3587.32元，下降38.81%</w:t>
      </w:r>
      <w:r>
        <w:rPr>
          <w:rFonts w:hint="eastAsia" w:ascii="Times New Roman" w:hAnsi="Times New Roman" w:eastAsia="方正仿宋_GBK" w:cs="Times New Roman"/>
          <w:bCs/>
          <w:kern w:val="2"/>
          <w:sz w:val="32"/>
          <w:szCs w:val="32"/>
          <w:highlight w:val="none"/>
          <w:lang w:val="zh-CN" w:eastAsia="zh-CN" w:bidi="ar-SA"/>
        </w:rPr>
        <w:t>。</w:t>
      </w:r>
    </w:p>
    <w:p w14:paraId="6D39EED9">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zh-CN" w:eastAsia="zh-CN" w:bidi="ar-SA"/>
        </w:rPr>
        <w:t>因公出国（境）费支出年初预算为</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元，决算为</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元，占财政拨款“三公”经费总支出决算的</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%；公务用车购置费支出年初预算为</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元，决算为</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元，占财政拨款“三公”经费总支出决算的</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%；公务用车购置费支出年初预算为</w:t>
      </w:r>
      <w:r>
        <w:rPr>
          <w:rFonts w:hint="eastAsia" w:ascii="Times New Roman" w:hAnsi="Times New Roman" w:eastAsia="方正仿宋_GBK" w:cs="Times New Roman"/>
          <w:bCs/>
          <w:kern w:val="2"/>
          <w:sz w:val="32"/>
          <w:szCs w:val="32"/>
          <w:highlight w:val="none"/>
          <w:lang w:val="en-US" w:eastAsia="zh-CN" w:bidi="ar-SA"/>
        </w:rPr>
        <w:t>12000.00</w:t>
      </w:r>
      <w:r>
        <w:rPr>
          <w:rFonts w:hint="eastAsia" w:ascii="Times New Roman" w:hAnsi="Times New Roman" w:eastAsia="方正仿宋_GBK" w:cs="Times New Roman"/>
          <w:bCs/>
          <w:kern w:val="2"/>
          <w:sz w:val="32"/>
          <w:szCs w:val="32"/>
          <w:highlight w:val="none"/>
          <w:lang w:val="zh-CN" w:eastAsia="zh-CN" w:bidi="ar-SA"/>
        </w:rPr>
        <w:t>元，决算为</w:t>
      </w:r>
      <w:r>
        <w:rPr>
          <w:rFonts w:hint="eastAsia" w:ascii="Times New Roman" w:hAnsi="Times New Roman" w:eastAsia="方正仿宋_GBK" w:cs="Times New Roman"/>
          <w:bCs/>
          <w:kern w:val="2"/>
          <w:sz w:val="32"/>
          <w:szCs w:val="32"/>
          <w:highlight w:val="none"/>
          <w:lang w:val="en-US" w:eastAsia="zh-CN" w:bidi="ar-SA"/>
        </w:rPr>
        <w:t>1100.00</w:t>
      </w:r>
      <w:r>
        <w:rPr>
          <w:rFonts w:hint="eastAsia" w:ascii="Times New Roman" w:hAnsi="Times New Roman" w:eastAsia="方正仿宋_GBK" w:cs="Times New Roman"/>
          <w:bCs/>
          <w:kern w:val="2"/>
          <w:sz w:val="32"/>
          <w:szCs w:val="32"/>
          <w:highlight w:val="none"/>
          <w:lang w:val="zh-CN" w:eastAsia="zh-CN" w:bidi="ar-SA"/>
        </w:rPr>
        <w:t>元，占财政拨款“三公”经费总支出决算的</w:t>
      </w:r>
      <w:r>
        <w:rPr>
          <w:rFonts w:hint="eastAsia" w:ascii="Times New Roman" w:hAnsi="Times New Roman" w:eastAsia="方正仿宋_GBK" w:cs="Times New Roman"/>
          <w:bCs/>
          <w:kern w:val="2"/>
          <w:sz w:val="32"/>
          <w:szCs w:val="32"/>
          <w:highlight w:val="none"/>
          <w:lang w:val="en-US" w:eastAsia="zh-CN" w:bidi="ar-SA"/>
        </w:rPr>
        <w:t>19.44</w:t>
      </w:r>
      <w:r>
        <w:rPr>
          <w:rFonts w:hint="eastAsia" w:ascii="Times New Roman" w:hAnsi="Times New Roman" w:eastAsia="方正仿宋_GBK" w:cs="Times New Roman"/>
          <w:bCs/>
          <w:kern w:val="2"/>
          <w:sz w:val="32"/>
          <w:szCs w:val="32"/>
          <w:highlight w:val="none"/>
          <w:lang w:val="zh-CN" w:eastAsia="zh-CN" w:bidi="ar-SA"/>
        </w:rPr>
        <w:t>%，完成年初预算的</w:t>
      </w:r>
      <w:r>
        <w:rPr>
          <w:rFonts w:hint="eastAsia" w:ascii="Times New Roman" w:hAnsi="Times New Roman" w:eastAsia="方正仿宋_GBK" w:cs="Times New Roman"/>
          <w:bCs/>
          <w:kern w:val="2"/>
          <w:sz w:val="32"/>
          <w:szCs w:val="32"/>
          <w:highlight w:val="none"/>
          <w:lang w:val="en-US" w:eastAsia="zh-CN" w:bidi="ar-SA"/>
        </w:rPr>
        <w:t>9.17%；</w:t>
      </w:r>
      <w:r>
        <w:rPr>
          <w:rFonts w:hint="eastAsia" w:ascii="Times New Roman" w:hAnsi="Times New Roman" w:eastAsia="方正仿宋_GBK" w:cs="Times New Roman"/>
          <w:bCs/>
          <w:kern w:val="2"/>
          <w:sz w:val="32"/>
          <w:szCs w:val="32"/>
          <w:highlight w:val="none"/>
          <w:lang w:val="zh-CN" w:eastAsia="zh-CN" w:bidi="ar-SA"/>
        </w:rPr>
        <w:t>公务接待费支出年初预算为</w:t>
      </w:r>
      <w:r>
        <w:rPr>
          <w:rFonts w:hint="eastAsia" w:ascii="Times New Roman" w:hAnsi="Times New Roman" w:eastAsia="方正仿宋_GBK" w:cs="Times New Roman"/>
          <w:bCs/>
          <w:kern w:val="2"/>
          <w:sz w:val="32"/>
          <w:szCs w:val="32"/>
          <w:highlight w:val="none"/>
          <w:lang w:val="en-US" w:eastAsia="zh-CN" w:bidi="ar-SA"/>
        </w:rPr>
        <w:t>22400.00</w:t>
      </w:r>
      <w:r>
        <w:rPr>
          <w:rFonts w:hint="eastAsia" w:ascii="Times New Roman" w:hAnsi="Times New Roman" w:eastAsia="方正仿宋_GBK" w:cs="Times New Roman"/>
          <w:bCs/>
          <w:kern w:val="2"/>
          <w:sz w:val="32"/>
          <w:szCs w:val="32"/>
          <w:highlight w:val="none"/>
          <w:lang w:val="zh-CN" w:eastAsia="zh-CN" w:bidi="ar-SA"/>
        </w:rPr>
        <w:t>元，决算为</w:t>
      </w:r>
      <w:r>
        <w:rPr>
          <w:rFonts w:hint="eastAsia" w:ascii="Times New Roman" w:hAnsi="Times New Roman" w:eastAsia="方正仿宋_GBK" w:cs="Times New Roman"/>
          <w:bCs/>
          <w:kern w:val="2"/>
          <w:sz w:val="32"/>
          <w:szCs w:val="32"/>
          <w:highlight w:val="none"/>
          <w:lang w:val="en-US" w:eastAsia="zh-CN" w:bidi="ar-SA"/>
        </w:rPr>
        <w:t>4557</w:t>
      </w:r>
      <w:r>
        <w:rPr>
          <w:rFonts w:hint="eastAsia" w:ascii="Times New Roman" w:hAnsi="Times New Roman" w:eastAsia="方正仿宋_GBK" w:cs="Times New Roman"/>
          <w:bCs/>
          <w:kern w:val="2"/>
          <w:sz w:val="32"/>
          <w:szCs w:val="32"/>
          <w:highlight w:val="none"/>
          <w:lang w:val="zh-CN" w:eastAsia="zh-CN" w:bidi="ar-SA"/>
        </w:rPr>
        <w:t>元，占财政拨款“三公”经费总支出决算的</w:t>
      </w:r>
      <w:r>
        <w:rPr>
          <w:rFonts w:hint="eastAsia" w:ascii="Times New Roman" w:hAnsi="Times New Roman" w:eastAsia="方正仿宋_GBK" w:cs="Times New Roman"/>
          <w:bCs/>
          <w:kern w:val="2"/>
          <w:sz w:val="32"/>
          <w:szCs w:val="32"/>
          <w:highlight w:val="none"/>
          <w:lang w:val="en-US" w:eastAsia="zh-CN" w:bidi="ar-SA"/>
        </w:rPr>
        <w:t>80.56</w:t>
      </w:r>
      <w:r>
        <w:rPr>
          <w:rFonts w:hint="eastAsia" w:ascii="Times New Roman" w:hAnsi="Times New Roman" w:eastAsia="方正仿宋_GBK" w:cs="Times New Roman"/>
          <w:bCs/>
          <w:kern w:val="2"/>
          <w:sz w:val="32"/>
          <w:szCs w:val="32"/>
          <w:highlight w:val="none"/>
          <w:lang w:val="zh-CN" w:eastAsia="zh-CN" w:bidi="ar-SA"/>
        </w:rPr>
        <w:t>%，完成年初预算的</w:t>
      </w:r>
      <w:r>
        <w:rPr>
          <w:rFonts w:hint="eastAsia" w:ascii="Times New Roman" w:hAnsi="Times New Roman" w:eastAsia="方正仿宋_GBK" w:cs="Times New Roman"/>
          <w:bCs/>
          <w:kern w:val="2"/>
          <w:sz w:val="32"/>
          <w:szCs w:val="32"/>
          <w:highlight w:val="none"/>
          <w:lang w:val="en-US" w:eastAsia="zh-CN" w:bidi="ar-SA"/>
        </w:rPr>
        <w:t>20.24%</w:t>
      </w:r>
      <w:r>
        <w:rPr>
          <w:rFonts w:hint="eastAsia" w:ascii="Times New Roman" w:hAnsi="Times New Roman" w:eastAsia="方正仿宋_GBK" w:cs="Times New Roman"/>
          <w:bCs/>
          <w:kern w:val="2"/>
          <w:sz w:val="32"/>
          <w:szCs w:val="32"/>
          <w:highlight w:val="none"/>
          <w:lang w:val="zh-CN" w:eastAsia="zh-CN" w:bidi="ar-SA"/>
        </w:rPr>
        <w:t>。</w:t>
      </w:r>
    </w:p>
    <w:p w14:paraId="1E4E7F63">
      <w:pPr>
        <w:keepNext w:val="0"/>
        <w:keepLines w:val="0"/>
        <w:pageBreakBefore w:val="0"/>
        <w:kinsoku/>
        <w:overflowPunct/>
        <w:topLinePunct w:val="0"/>
        <w:autoSpaceDE/>
        <w:autoSpaceDN/>
        <w:bidi w:val="0"/>
        <w:spacing w:line="59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（二）一般公共预算财政拨款“三公”经费支出决算情况说明</w:t>
      </w:r>
    </w:p>
    <w:p w14:paraId="0092F251">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2024年度一般公共预算财政拨款“三公”经费支出年初预算为34400.00元，支出决算为5</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657.00元，完成年初预算的16.44%，支出决算较上年减少3587.32元，3587.32下降38.81%。</w:t>
      </w:r>
    </w:p>
    <w:p w14:paraId="511150C0">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一般公共预算财政拨款“三公”经费支出中：因公出国（境）费支出年初预算为0.00元，决算为0.00元；公务用车购置费支出年初预算为0.00元，决算为0.00元；公务用车运行维护费支出年初预算为12000.00元，决算为1100.00元，完成年初预算的9.17%；公务接待费支出年初预算为22400.00元，决算为4557元，完成年初预算的20.24%。2024年度一般公共预算财政拨款“三公”经费支出决算数小于年初预算数的主要原因是：本年度厉行节约，严控“三公”经费开支，严格遵守10公里内公务员不使用公车的要求，用车次数减少，费用降低</w:t>
      </w:r>
      <w:r>
        <w:rPr>
          <w:rFonts w:hint="default" w:ascii="Times New Roman" w:hAnsi="Times New Roman" w:eastAsia="方正仿宋_GBK" w:cs="Times New Roman"/>
          <w:bCs/>
          <w:kern w:val="2"/>
          <w:sz w:val="32"/>
          <w:szCs w:val="32"/>
          <w:highlight w:val="none"/>
          <w:lang w:val="en-US" w:eastAsia="zh-CN" w:bidi="ar-SA"/>
        </w:rPr>
        <w:t>。本年度无公务用车购置，公务用车保有量为</w:t>
      </w:r>
      <w:r>
        <w:rPr>
          <w:rFonts w:hint="eastAsia" w:ascii="Times New Roman" w:hAnsi="Times New Roman" w:eastAsia="方正仿宋_GBK" w:cs="Times New Roman"/>
          <w:bCs/>
          <w:kern w:val="2"/>
          <w:sz w:val="32"/>
          <w:szCs w:val="32"/>
          <w:highlight w:val="none"/>
          <w:lang w:val="en-US" w:eastAsia="zh-CN" w:bidi="ar-SA"/>
        </w:rPr>
        <w:t>2</w:t>
      </w:r>
      <w:r>
        <w:rPr>
          <w:rFonts w:hint="default" w:ascii="Times New Roman" w:hAnsi="Times New Roman" w:eastAsia="方正仿宋_GBK" w:cs="Times New Roman"/>
          <w:bCs/>
          <w:kern w:val="2"/>
          <w:sz w:val="32"/>
          <w:szCs w:val="32"/>
          <w:highlight w:val="none"/>
          <w:lang w:val="en-US" w:eastAsia="zh-CN" w:bidi="ar-SA"/>
        </w:rPr>
        <w:t>辆、无因公出国（境）团组数及人数，公务接待批次是</w:t>
      </w:r>
      <w:r>
        <w:rPr>
          <w:rFonts w:hint="eastAsia" w:ascii="Times New Roman" w:hAnsi="Times New Roman" w:eastAsia="方正仿宋_GBK" w:cs="Times New Roman"/>
          <w:bCs/>
          <w:kern w:val="2"/>
          <w:sz w:val="32"/>
          <w:szCs w:val="32"/>
          <w:highlight w:val="none"/>
          <w:lang w:val="en-US" w:eastAsia="zh-CN" w:bidi="ar-SA"/>
        </w:rPr>
        <w:t>13</w:t>
      </w:r>
      <w:r>
        <w:rPr>
          <w:rFonts w:hint="default" w:ascii="Times New Roman" w:hAnsi="Times New Roman" w:eastAsia="方正仿宋_GBK" w:cs="Times New Roman"/>
          <w:bCs/>
          <w:kern w:val="2"/>
          <w:sz w:val="32"/>
          <w:szCs w:val="32"/>
          <w:highlight w:val="none"/>
          <w:lang w:val="en-US" w:eastAsia="zh-CN" w:bidi="ar-SA"/>
        </w:rPr>
        <w:t>批，接待人数</w:t>
      </w:r>
      <w:r>
        <w:rPr>
          <w:rFonts w:hint="eastAsia" w:ascii="Times New Roman" w:hAnsi="Times New Roman" w:eastAsia="方正仿宋_GBK" w:cs="Times New Roman"/>
          <w:bCs/>
          <w:kern w:val="2"/>
          <w:sz w:val="32"/>
          <w:szCs w:val="32"/>
          <w:highlight w:val="none"/>
          <w:lang w:val="en-US" w:eastAsia="zh-CN" w:bidi="ar-SA"/>
        </w:rPr>
        <w:t>56</w:t>
      </w:r>
      <w:r>
        <w:rPr>
          <w:rFonts w:hint="default" w:ascii="Times New Roman" w:hAnsi="Times New Roman" w:eastAsia="方正仿宋_GBK" w:cs="Times New Roman"/>
          <w:bCs/>
          <w:kern w:val="2"/>
          <w:sz w:val="32"/>
          <w:szCs w:val="32"/>
          <w:highlight w:val="none"/>
          <w:lang w:val="en-US" w:eastAsia="zh-CN" w:bidi="ar-SA"/>
        </w:rPr>
        <w:t>人</w:t>
      </w:r>
      <w:r>
        <w:rPr>
          <w:rFonts w:hint="eastAsia" w:ascii="Times New Roman" w:hAnsi="Times New Roman" w:eastAsia="方正仿宋_GBK" w:cs="Times New Roman"/>
          <w:bCs/>
          <w:kern w:val="2"/>
          <w:sz w:val="32"/>
          <w:szCs w:val="32"/>
          <w:highlight w:val="none"/>
          <w:lang w:val="en-US" w:eastAsia="zh-CN" w:bidi="ar-SA"/>
        </w:rPr>
        <w:t>次</w:t>
      </w:r>
      <w:r>
        <w:rPr>
          <w:rFonts w:hint="default" w:ascii="Times New Roman" w:hAnsi="Times New Roman" w:eastAsia="方正仿宋_GBK" w:cs="Times New Roman"/>
          <w:bCs/>
          <w:kern w:val="2"/>
          <w:sz w:val="32"/>
          <w:szCs w:val="32"/>
          <w:highlight w:val="none"/>
          <w:lang w:val="en-US" w:eastAsia="zh-CN" w:bidi="ar-SA"/>
        </w:rPr>
        <w:t>。</w:t>
      </w:r>
    </w:p>
    <w:p w14:paraId="60CBC8B4">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一般公共预算财政拨款“三公”经费支出实物量的具体情况：</w:t>
      </w:r>
    </w:p>
    <w:p w14:paraId="26D2CAF8">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eastAsia="方正仿宋_GBK" w:cs="Times New Roman"/>
          <w:bCs/>
          <w:kern w:val="2"/>
          <w:sz w:val="32"/>
          <w:szCs w:val="32"/>
          <w:highlight w:val="none"/>
          <w:lang w:val="en-US" w:eastAsia="zh-CN" w:bidi="ar-SA"/>
        </w:rPr>
        <w:t>1.</w:t>
      </w:r>
      <w:r>
        <w:rPr>
          <w:rFonts w:hint="eastAsia" w:ascii="Times New Roman" w:hAnsi="Times New Roman" w:eastAsia="方正仿宋_GBK" w:cs="Times New Roman"/>
          <w:bCs/>
          <w:kern w:val="2"/>
          <w:sz w:val="32"/>
          <w:szCs w:val="32"/>
          <w:highlight w:val="none"/>
          <w:lang w:val="en-US" w:eastAsia="zh-CN" w:bidi="ar-SA"/>
        </w:rPr>
        <w:t>安排因公出国（境）团组0个，累计0人次。</w:t>
      </w:r>
    </w:p>
    <w:p w14:paraId="38646CE7">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2.购置车辆0辆。开支一般公共预算财政拨款的公务用车保有量为辆。主要用于</w:t>
      </w:r>
      <w:r>
        <w:rPr>
          <w:rFonts w:hint="default" w:ascii="Times New Roman" w:hAnsi="Times New Roman" w:eastAsia="方正仿宋_GBK" w:cs="Times New Roman"/>
          <w:bCs/>
          <w:kern w:val="2"/>
          <w:sz w:val="32"/>
          <w:szCs w:val="32"/>
          <w:highlight w:val="none"/>
          <w:lang w:val="en-US" w:eastAsia="zh-CN" w:bidi="ar-SA"/>
        </w:rPr>
        <w:t>开展工业、商贸、科技、无线电等领域工作所需车辆燃料费、维修费、过路过桥费、保险费等</w:t>
      </w:r>
      <w:r>
        <w:rPr>
          <w:rFonts w:hint="eastAsia" w:ascii="Times New Roman" w:hAnsi="Times New Roman" w:eastAsia="方正仿宋_GBK" w:cs="Times New Roman"/>
          <w:bCs/>
          <w:kern w:val="2"/>
          <w:sz w:val="32"/>
          <w:szCs w:val="32"/>
          <w:highlight w:val="none"/>
          <w:lang w:val="en-US" w:eastAsia="zh-CN" w:bidi="ar-SA"/>
        </w:rPr>
        <w:t>。</w:t>
      </w:r>
    </w:p>
    <w:p w14:paraId="3A50BAA9">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3.安排国内公务接待13批次（其中：外事接待0批次），接待人次56人（其中：外事接待人次0人）。主要用于</w:t>
      </w:r>
      <w:r>
        <w:rPr>
          <w:rFonts w:hint="default" w:ascii="Times New Roman" w:hAnsi="Times New Roman" w:eastAsia="方正仿宋_GBK" w:cs="Times New Roman"/>
          <w:bCs/>
          <w:kern w:val="2"/>
          <w:sz w:val="32"/>
          <w:szCs w:val="32"/>
          <w:highlight w:val="none"/>
          <w:lang w:val="en-US" w:eastAsia="zh-CN" w:bidi="ar-SA"/>
        </w:rPr>
        <w:t>工业、商贸、科技、无线电等领域工作</w:t>
      </w:r>
      <w:r>
        <w:rPr>
          <w:rFonts w:hint="eastAsia" w:ascii="Times New Roman" w:hAnsi="Times New Roman" w:eastAsia="方正仿宋_GBK" w:cs="Times New Roman"/>
          <w:bCs/>
          <w:kern w:val="2"/>
          <w:sz w:val="32"/>
          <w:szCs w:val="32"/>
          <w:highlight w:val="none"/>
          <w:lang w:val="en-US" w:eastAsia="zh-CN" w:bidi="ar-SA"/>
        </w:rPr>
        <w:t>发生的接待支出。安排国（境）外公务接待0批次，接待人次0人。</w:t>
      </w:r>
    </w:p>
    <w:p w14:paraId="60FA8149">
      <w:pPr>
        <w:keepNext w:val="0"/>
        <w:keepLines w:val="0"/>
        <w:pageBreakBefore w:val="0"/>
        <w:kinsoku/>
        <w:overflowPunct/>
        <w:topLinePunct w:val="0"/>
        <w:autoSpaceDE/>
        <w:autoSpaceDN/>
        <w:bidi w:val="0"/>
        <w:spacing w:line="59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（三）需要说明的事项</w:t>
      </w:r>
    </w:p>
    <w:p w14:paraId="16656D53">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不存在需要说明的事项。</w:t>
      </w:r>
    </w:p>
    <w:p w14:paraId="1201BE7C">
      <w:pPr>
        <w:keepNext w:val="0"/>
        <w:keepLines w:val="0"/>
        <w:pageBreakBefore w:val="0"/>
        <w:widowControl/>
        <w:kinsoku/>
        <w:overflowPunct/>
        <w:topLinePunct w:val="0"/>
        <w:autoSpaceDE/>
        <w:autoSpaceDN/>
        <w:bidi w:val="0"/>
        <w:snapToGrid w:val="0"/>
        <w:spacing w:line="590" w:lineRule="exact"/>
        <w:jc w:val="both"/>
        <w:textAlignment w:val="auto"/>
        <w:rPr>
          <w:rFonts w:hint="eastAsia" w:ascii="仿宋_GB2312" w:eastAsia="仿宋_GB2312"/>
          <w:sz w:val="30"/>
          <w:szCs w:val="30"/>
          <w:highlight w:val="none"/>
          <w:lang w:eastAsia="zh-CN"/>
        </w:rPr>
      </w:pPr>
    </w:p>
    <w:p w14:paraId="53D6D4A5">
      <w:pPr>
        <w:keepNext w:val="0"/>
        <w:keepLines w:val="0"/>
        <w:pageBreakBefore w:val="0"/>
        <w:widowControl/>
        <w:kinsoku/>
        <w:overflowPunct/>
        <w:topLinePunct w:val="0"/>
        <w:autoSpaceDE/>
        <w:autoSpaceDN/>
        <w:bidi w:val="0"/>
        <w:snapToGrid w:val="0"/>
        <w:spacing w:line="59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第四部分  其他重要事项及相关口径情况说明</w:t>
      </w:r>
    </w:p>
    <w:p w14:paraId="7E45082A">
      <w:pPr>
        <w:keepNext w:val="0"/>
        <w:keepLines w:val="0"/>
        <w:pageBreakBefore w:val="0"/>
        <w:kinsoku/>
        <w:overflowPunct/>
        <w:topLinePunct w:val="0"/>
        <w:autoSpaceDE/>
        <w:autoSpaceDN/>
        <w:bidi w:val="0"/>
        <w:spacing w:line="59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eastAsia="zh-CN"/>
        </w:rPr>
        <w:t>、</w:t>
      </w:r>
      <w:r>
        <w:rPr>
          <w:rFonts w:hint="eastAsia" w:ascii="方正黑体_GBK" w:hAnsi="方正黑体_GBK" w:eastAsia="方正黑体_GBK" w:cs="方正黑体_GBK"/>
          <w:sz w:val="32"/>
          <w:szCs w:val="32"/>
          <w:highlight w:val="none"/>
        </w:rPr>
        <w:t>机关运行经费支出情况</w:t>
      </w:r>
    </w:p>
    <w:p w14:paraId="5CFACBE5">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default" w:ascii="Times New Roman" w:hAnsi="Times New Roman" w:eastAsia="方正仿宋_GBK" w:cs="Times New Roman"/>
          <w:bCs/>
          <w:kern w:val="2"/>
          <w:sz w:val="32"/>
          <w:szCs w:val="32"/>
          <w:highlight w:val="none"/>
          <w:lang w:val="zh-CN" w:eastAsia="zh-CN" w:bidi="ar-SA"/>
        </w:rPr>
        <w:t>华宁县工业商贸和科技信息局（本级）</w:t>
      </w:r>
      <w:r>
        <w:rPr>
          <w:rFonts w:hint="eastAsia" w:ascii="Times New Roman" w:hAnsi="Times New Roman" w:eastAsia="方正仿宋_GBK" w:cs="Times New Roman"/>
          <w:bCs/>
          <w:kern w:val="2"/>
          <w:sz w:val="32"/>
          <w:szCs w:val="32"/>
          <w:highlight w:val="none"/>
          <w:lang w:val="en-US" w:eastAsia="zh-CN" w:bidi="ar-SA"/>
        </w:rPr>
        <w:t>2024年机关运行经费支出24</w:t>
      </w:r>
      <w:r>
        <w:rPr>
          <w:rFonts w:hint="eastAsia" w:ascii="Times New Roman" w:hAnsi="Times New Roman" w:eastAsia="方正仿宋_GBK" w:cs="Times New Roman"/>
          <w:bCs/>
          <w:kern w:val="2"/>
          <w:sz w:val="32"/>
          <w:szCs w:val="32"/>
          <w:highlight w:val="none"/>
          <w:lang w:val="en-US" w:eastAsia="zh-CN" w:bidi="ar-SA"/>
        </w:rPr>
        <w:t>6831.8元，比上年减少62993.15元，下降20.33%,主要原因是本年度厉行节约，严控“三公”经费开支，严格遵守10公里内公务员不使用公车的要求，用车次数减少，费用降低</w:t>
      </w:r>
      <w:r>
        <w:rPr>
          <w:rFonts w:hint="default" w:ascii="Times New Roman" w:hAnsi="Times New Roman" w:eastAsia="方正仿宋_GBK" w:cs="Times New Roman"/>
          <w:bCs/>
          <w:kern w:val="2"/>
          <w:sz w:val="32"/>
          <w:szCs w:val="32"/>
          <w:highlight w:val="none"/>
          <w:lang w:val="en-US" w:eastAsia="zh-CN" w:bidi="ar-SA"/>
        </w:rPr>
        <w:t>。本年度无公务用车购置，公务用车保有量为</w:t>
      </w:r>
      <w:r>
        <w:rPr>
          <w:rFonts w:hint="eastAsia" w:ascii="Times New Roman" w:hAnsi="Times New Roman" w:eastAsia="方正仿宋_GBK" w:cs="Times New Roman"/>
          <w:bCs/>
          <w:kern w:val="2"/>
          <w:sz w:val="32"/>
          <w:szCs w:val="32"/>
          <w:highlight w:val="none"/>
          <w:lang w:val="en-US" w:eastAsia="zh-CN" w:bidi="ar-SA"/>
        </w:rPr>
        <w:t>2</w:t>
      </w:r>
      <w:r>
        <w:rPr>
          <w:rFonts w:hint="default" w:ascii="Times New Roman" w:hAnsi="Times New Roman" w:eastAsia="方正仿宋_GBK" w:cs="Times New Roman"/>
          <w:bCs/>
          <w:kern w:val="2"/>
          <w:sz w:val="32"/>
          <w:szCs w:val="32"/>
          <w:highlight w:val="none"/>
          <w:lang w:val="en-US" w:eastAsia="zh-CN" w:bidi="ar-SA"/>
        </w:rPr>
        <w:t>辆、无因公出国（境）团组数及人数，公务接待批次是</w:t>
      </w:r>
      <w:r>
        <w:rPr>
          <w:rFonts w:hint="eastAsia" w:ascii="Times New Roman" w:hAnsi="Times New Roman" w:eastAsia="方正仿宋_GBK" w:cs="Times New Roman"/>
          <w:bCs/>
          <w:kern w:val="2"/>
          <w:sz w:val="32"/>
          <w:szCs w:val="32"/>
          <w:highlight w:val="none"/>
          <w:lang w:val="en-US" w:eastAsia="zh-CN" w:bidi="ar-SA"/>
        </w:rPr>
        <w:t>13</w:t>
      </w:r>
      <w:r>
        <w:rPr>
          <w:rFonts w:hint="default" w:ascii="Times New Roman" w:hAnsi="Times New Roman" w:eastAsia="方正仿宋_GBK" w:cs="Times New Roman"/>
          <w:bCs/>
          <w:kern w:val="2"/>
          <w:sz w:val="32"/>
          <w:szCs w:val="32"/>
          <w:highlight w:val="none"/>
          <w:lang w:val="en-US" w:eastAsia="zh-CN" w:bidi="ar-SA"/>
        </w:rPr>
        <w:t>批，接待人数</w:t>
      </w:r>
      <w:r>
        <w:rPr>
          <w:rFonts w:hint="eastAsia" w:ascii="Times New Roman" w:hAnsi="Times New Roman" w:eastAsia="方正仿宋_GBK" w:cs="Times New Roman"/>
          <w:bCs/>
          <w:kern w:val="2"/>
          <w:sz w:val="32"/>
          <w:szCs w:val="32"/>
          <w:highlight w:val="none"/>
          <w:lang w:val="en-US" w:eastAsia="zh-CN" w:bidi="ar-SA"/>
        </w:rPr>
        <w:t>56</w:t>
      </w:r>
      <w:r>
        <w:rPr>
          <w:rFonts w:hint="default" w:ascii="Times New Roman" w:hAnsi="Times New Roman" w:eastAsia="方正仿宋_GBK" w:cs="Times New Roman"/>
          <w:bCs/>
          <w:kern w:val="2"/>
          <w:sz w:val="32"/>
          <w:szCs w:val="32"/>
          <w:highlight w:val="none"/>
          <w:lang w:val="en-US" w:eastAsia="zh-CN" w:bidi="ar-SA"/>
        </w:rPr>
        <w:t>人</w:t>
      </w:r>
      <w:r>
        <w:rPr>
          <w:rFonts w:hint="eastAsia" w:ascii="Times New Roman" w:hAnsi="Times New Roman" w:eastAsia="方正仿宋_GBK" w:cs="Times New Roman"/>
          <w:bCs/>
          <w:kern w:val="2"/>
          <w:sz w:val="32"/>
          <w:szCs w:val="32"/>
          <w:highlight w:val="none"/>
          <w:lang w:val="en-US" w:eastAsia="zh-CN" w:bidi="ar-SA"/>
        </w:rPr>
        <w:t>次。单位机关运行经费主要用于：办公费88448.66元，工会经费18660.00元，公务用车运行维护费1100.00元，其他交通费168450.00元。</w:t>
      </w:r>
    </w:p>
    <w:p w14:paraId="1EED49F3">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二、</w:t>
      </w:r>
      <w:r>
        <w:rPr>
          <w:rFonts w:hint="eastAsia" w:ascii="方正黑体_GBK" w:hAnsi="方正黑体_GBK" w:eastAsia="方正黑体_GBK" w:cs="方正黑体_GBK"/>
          <w:sz w:val="32"/>
          <w:szCs w:val="32"/>
          <w:highlight w:val="none"/>
        </w:rPr>
        <w:t>国有资产占用情况</w:t>
      </w:r>
    </w:p>
    <w:p w14:paraId="42549B7F">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zh-CN" w:eastAsia="zh-CN" w:bidi="ar-SA"/>
        </w:rPr>
        <w:t>截至2024年末，</w:t>
      </w:r>
      <w:r>
        <w:rPr>
          <w:rFonts w:hint="eastAsia" w:ascii="Times New Roman" w:hAnsi="Times New Roman" w:eastAsia="方正仿宋_GBK" w:cs="Times New Roman"/>
          <w:bCs/>
          <w:kern w:val="2"/>
          <w:sz w:val="32"/>
          <w:szCs w:val="32"/>
          <w:highlight w:val="none"/>
          <w:lang w:val="en-US" w:eastAsia="zh-CN" w:bidi="ar-SA"/>
        </w:rPr>
        <w:t>华宁县工业商贸和科技信息局（本级）</w:t>
      </w:r>
      <w:r>
        <w:rPr>
          <w:rFonts w:hint="eastAsia" w:ascii="Times New Roman" w:hAnsi="Times New Roman" w:eastAsia="方正仿宋_GBK" w:cs="Times New Roman"/>
          <w:bCs/>
          <w:kern w:val="2"/>
          <w:sz w:val="32"/>
          <w:szCs w:val="32"/>
          <w:highlight w:val="none"/>
          <w:lang w:val="zh-CN" w:eastAsia="zh-CN" w:bidi="ar-SA"/>
        </w:rPr>
        <w:t>资产总额</w:t>
      </w:r>
      <w:r>
        <w:rPr>
          <w:rFonts w:hint="eastAsia" w:ascii="Times New Roman" w:hAnsi="Times New Roman" w:eastAsia="方正仿宋_GBK" w:cs="Times New Roman"/>
          <w:bCs/>
          <w:kern w:val="2"/>
          <w:sz w:val="32"/>
          <w:szCs w:val="32"/>
          <w:highlight w:val="none"/>
          <w:lang w:val="en-US" w:eastAsia="zh-CN" w:bidi="ar-SA"/>
        </w:rPr>
        <w:t>2972648.85</w:t>
      </w:r>
      <w:r>
        <w:rPr>
          <w:rFonts w:hint="eastAsia" w:ascii="Times New Roman" w:hAnsi="Times New Roman" w:eastAsia="方正仿宋_GBK" w:cs="Times New Roman"/>
          <w:bCs/>
          <w:kern w:val="2"/>
          <w:sz w:val="32"/>
          <w:szCs w:val="32"/>
          <w:highlight w:val="none"/>
          <w:lang w:val="zh-CN" w:eastAsia="zh-CN" w:bidi="ar-SA"/>
        </w:rPr>
        <w:t>元，其中，流动资产</w:t>
      </w:r>
      <w:r>
        <w:rPr>
          <w:rFonts w:hint="eastAsia" w:ascii="Times New Roman" w:hAnsi="Times New Roman" w:eastAsia="方正仿宋_GBK" w:cs="Times New Roman"/>
          <w:bCs/>
          <w:kern w:val="2"/>
          <w:sz w:val="32"/>
          <w:szCs w:val="32"/>
          <w:highlight w:val="none"/>
          <w:lang w:val="en-US" w:eastAsia="zh-CN" w:bidi="ar-SA"/>
        </w:rPr>
        <w:t>2698632.8</w:t>
      </w:r>
      <w:r>
        <w:rPr>
          <w:rFonts w:hint="eastAsia" w:ascii="Times New Roman" w:hAnsi="Times New Roman" w:eastAsia="方正仿宋_GBK" w:cs="Times New Roman"/>
          <w:bCs/>
          <w:kern w:val="2"/>
          <w:sz w:val="32"/>
          <w:szCs w:val="32"/>
          <w:highlight w:val="none"/>
          <w:lang w:val="zh-CN" w:eastAsia="zh-CN" w:bidi="ar-SA"/>
        </w:rPr>
        <w:t>元，固定资产</w:t>
      </w:r>
      <w:r>
        <w:rPr>
          <w:rFonts w:hint="eastAsia" w:ascii="Times New Roman" w:hAnsi="Times New Roman" w:eastAsia="方正仿宋_GBK" w:cs="Times New Roman"/>
          <w:bCs/>
          <w:kern w:val="2"/>
          <w:sz w:val="32"/>
          <w:szCs w:val="32"/>
          <w:highlight w:val="none"/>
          <w:lang w:val="en-US" w:eastAsia="zh-CN" w:bidi="ar-SA"/>
        </w:rPr>
        <w:t>274008.05</w:t>
      </w:r>
      <w:r>
        <w:rPr>
          <w:rFonts w:hint="eastAsia" w:ascii="Times New Roman" w:hAnsi="Times New Roman" w:eastAsia="方正仿宋_GBK" w:cs="Times New Roman"/>
          <w:bCs/>
          <w:kern w:val="2"/>
          <w:sz w:val="32"/>
          <w:szCs w:val="32"/>
          <w:highlight w:val="none"/>
          <w:lang w:val="zh-CN" w:eastAsia="zh-CN" w:bidi="ar-SA"/>
        </w:rPr>
        <w:t>元（净值），对外投资及有价证券</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元，在建工程</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元，无形资产</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元（净值），其他资产</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元（净值）（具体内容详见附表）。与上年相比，本年资产总额减</w:t>
      </w:r>
      <w:r>
        <w:rPr>
          <w:rFonts w:hint="eastAsia" w:ascii="Times New Roman" w:hAnsi="Times New Roman" w:eastAsia="方正仿宋_GBK" w:cs="Times New Roman"/>
          <w:bCs/>
          <w:kern w:val="2"/>
          <w:sz w:val="32"/>
          <w:szCs w:val="32"/>
          <w:highlight w:val="none"/>
          <w:lang w:val="en-US" w:eastAsia="zh-CN" w:bidi="ar-SA"/>
        </w:rPr>
        <w:t>少83447.84</w:t>
      </w:r>
      <w:r>
        <w:rPr>
          <w:rFonts w:hint="eastAsia" w:ascii="Times New Roman" w:hAnsi="Times New Roman" w:eastAsia="方正仿宋_GBK" w:cs="Times New Roman"/>
          <w:bCs/>
          <w:kern w:val="2"/>
          <w:sz w:val="32"/>
          <w:szCs w:val="32"/>
          <w:highlight w:val="none"/>
          <w:lang w:val="zh-CN" w:eastAsia="zh-CN" w:bidi="ar-SA"/>
        </w:rPr>
        <w:t>元，其中固定资产减少</w:t>
      </w:r>
      <w:r>
        <w:rPr>
          <w:rFonts w:hint="eastAsia" w:ascii="Times New Roman" w:hAnsi="Times New Roman" w:eastAsia="方正仿宋_GBK" w:cs="Times New Roman"/>
          <w:bCs/>
          <w:kern w:val="2"/>
          <w:sz w:val="32"/>
          <w:szCs w:val="32"/>
          <w:highlight w:val="none"/>
          <w:lang w:val="en-US" w:eastAsia="zh-CN" w:bidi="ar-SA"/>
        </w:rPr>
        <w:t>3000.00</w:t>
      </w:r>
      <w:r>
        <w:rPr>
          <w:rFonts w:hint="eastAsia" w:ascii="Times New Roman" w:hAnsi="Times New Roman" w:eastAsia="方正仿宋_GBK" w:cs="Times New Roman"/>
          <w:bCs/>
          <w:kern w:val="2"/>
          <w:sz w:val="32"/>
          <w:szCs w:val="32"/>
          <w:highlight w:val="none"/>
          <w:lang w:val="zh-CN" w:eastAsia="zh-CN" w:bidi="ar-SA"/>
        </w:rPr>
        <w:t>元。处置房屋建筑物</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平方米，账面原值</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元；处置车辆</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辆，账面原值</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元；报废报损资产</w:t>
      </w:r>
      <w:r>
        <w:rPr>
          <w:rFonts w:hint="eastAsia" w:ascii="Times New Roman" w:hAnsi="Times New Roman" w:eastAsia="方正仿宋_GBK" w:cs="Times New Roman"/>
          <w:bCs/>
          <w:kern w:val="2"/>
          <w:sz w:val="32"/>
          <w:szCs w:val="32"/>
          <w:highlight w:val="none"/>
          <w:lang w:val="en-US" w:eastAsia="zh-CN" w:bidi="ar-SA"/>
        </w:rPr>
        <w:t>1</w:t>
      </w:r>
      <w:r>
        <w:rPr>
          <w:rFonts w:hint="eastAsia" w:ascii="Times New Roman" w:hAnsi="Times New Roman" w:eastAsia="方正仿宋_GBK" w:cs="Times New Roman"/>
          <w:bCs/>
          <w:kern w:val="2"/>
          <w:sz w:val="32"/>
          <w:szCs w:val="32"/>
          <w:highlight w:val="none"/>
          <w:lang w:val="zh-CN" w:eastAsia="zh-CN" w:bidi="ar-SA"/>
        </w:rPr>
        <w:t>项，账面原值</w:t>
      </w:r>
      <w:r>
        <w:rPr>
          <w:rFonts w:hint="eastAsia" w:ascii="Times New Roman" w:hAnsi="Times New Roman" w:eastAsia="方正仿宋_GBK" w:cs="Times New Roman"/>
          <w:bCs/>
          <w:kern w:val="2"/>
          <w:sz w:val="32"/>
          <w:szCs w:val="32"/>
          <w:highlight w:val="none"/>
          <w:lang w:val="en-US" w:eastAsia="zh-CN" w:bidi="ar-SA"/>
        </w:rPr>
        <w:t>22</w:t>
      </w:r>
      <w:r>
        <w:rPr>
          <w:rFonts w:hint="default" w:ascii="Times New Roman" w:hAnsi="Times New Roman" w:eastAsia="方正仿宋_GBK" w:cs="Times New Roman"/>
          <w:bCs/>
          <w:kern w:val="2"/>
          <w:sz w:val="32"/>
          <w:szCs w:val="32"/>
          <w:highlight w:val="none"/>
          <w:lang w:val="en-US" w:eastAsia="zh-CN" w:bidi="ar-SA"/>
        </w:rPr>
        <w:t>,</w:t>
      </w:r>
      <w:r>
        <w:rPr>
          <w:rFonts w:hint="eastAsia" w:ascii="Times New Roman" w:hAnsi="Times New Roman" w:eastAsia="方正仿宋_GBK" w:cs="Times New Roman"/>
          <w:bCs/>
          <w:kern w:val="2"/>
          <w:sz w:val="32"/>
          <w:szCs w:val="32"/>
          <w:highlight w:val="none"/>
          <w:lang w:val="en-US" w:eastAsia="zh-CN" w:bidi="ar-SA"/>
        </w:rPr>
        <w:t>500.00</w:t>
      </w:r>
      <w:r>
        <w:rPr>
          <w:rFonts w:hint="eastAsia" w:ascii="Times New Roman" w:hAnsi="Times New Roman" w:eastAsia="方正仿宋_GBK" w:cs="Times New Roman"/>
          <w:bCs/>
          <w:kern w:val="2"/>
          <w:sz w:val="32"/>
          <w:szCs w:val="32"/>
          <w:highlight w:val="none"/>
          <w:lang w:val="zh-CN" w:eastAsia="zh-CN" w:bidi="ar-SA"/>
        </w:rPr>
        <w:t>元，实现资产处置收入</w:t>
      </w:r>
      <w:r>
        <w:rPr>
          <w:rFonts w:hint="eastAsia" w:ascii="Times New Roman" w:hAnsi="Times New Roman" w:eastAsia="方正仿宋_GBK" w:cs="Times New Roman"/>
          <w:bCs/>
          <w:kern w:val="2"/>
          <w:sz w:val="32"/>
          <w:szCs w:val="32"/>
          <w:highlight w:val="none"/>
          <w:lang w:val="en-US" w:eastAsia="zh-CN" w:bidi="ar-SA"/>
        </w:rPr>
        <w:t>0.00</w:t>
      </w:r>
      <w:r>
        <w:rPr>
          <w:rFonts w:hint="eastAsia" w:ascii="Times New Roman" w:hAnsi="Times New Roman" w:eastAsia="方正仿宋_GBK" w:cs="Times New Roman"/>
          <w:bCs/>
          <w:kern w:val="2"/>
          <w:sz w:val="32"/>
          <w:szCs w:val="32"/>
          <w:highlight w:val="none"/>
          <w:lang w:val="zh-CN" w:eastAsia="zh-CN" w:bidi="ar-SA"/>
        </w:rPr>
        <w:t>元；出租房屋</w:t>
      </w:r>
      <w:r>
        <w:rPr>
          <w:rFonts w:hint="eastAsia" w:ascii="Times New Roman" w:hAnsi="Times New Roman" w:eastAsia="方正仿宋_GBK" w:cs="Times New Roman"/>
          <w:bCs/>
          <w:kern w:val="2"/>
          <w:sz w:val="32"/>
          <w:szCs w:val="32"/>
          <w:highlight w:val="none"/>
          <w:lang w:val="en-US" w:eastAsia="zh-CN" w:bidi="ar-SA"/>
        </w:rPr>
        <w:t>95</w:t>
      </w:r>
      <w:r>
        <w:rPr>
          <w:rFonts w:hint="eastAsia" w:ascii="Times New Roman" w:hAnsi="Times New Roman" w:eastAsia="方正仿宋_GBK" w:cs="Times New Roman"/>
          <w:bCs/>
          <w:kern w:val="2"/>
          <w:sz w:val="32"/>
          <w:szCs w:val="32"/>
          <w:highlight w:val="none"/>
          <w:lang w:val="zh-CN" w:eastAsia="zh-CN" w:bidi="ar-SA"/>
        </w:rPr>
        <w:t>平方米，账面原值71627</w:t>
      </w:r>
      <w:r>
        <w:rPr>
          <w:rFonts w:hint="eastAsia" w:ascii="Times New Roman" w:hAnsi="Times New Roman" w:eastAsia="方正仿宋_GBK" w:cs="Times New Roman"/>
          <w:bCs/>
          <w:kern w:val="2"/>
          <w:sz w:val="32"/>
          <w:szCs w:val="32"/>
          <w:highlight w:val="none"/>
          <w:lang w:val="en-US" w:eastAsia="zh-CN" w:bidi="ar-SA"/>
        </w:rPr>
        <w:t>.00</w:t>
      </w:r>
      <w:r>
        <w:rPr>
          <w:rFonts w:hint="eastAsia" w:ascii="Times New Roman" w:hAnsi="Times New Roman" w:eastAsia="方正仿宋_GBK" w:cs="Times New Roman"/>
          <w:bCs/>
          <w:kern w:val="2"/>
          <w:sz w:val="32"/>
          <w:szCs w:val="32"/>
          <w:highlight w:val="none"/>
          <w:lang w:val="zh-CN" w:eastAsia="zh-CN" w:bidi="ar-SA"/>
        </w:rPr>
        <w:t>元，实现资产使用收入</w:t>
      </w:r>
      <w:r>
        <w:rPr>
          <w:rFonts w:hint="eastAsia" w:ascii="Times New Roman" w:hAnsi="Times New Roman" w:eastAsia="方正仿宋_GBK" w:cs="Times New Roman"/>
          <w:bCs/>
          <w:kern w:val="2"/>
          <w:sz w:val="32"/>
          <w:szCs w:val="32"/>
          <w:highlight w:val="none"/>
          <w:lang w:val="en-US" w:eastAsia="zh-CN" w:bidi="ar-SA"/>
        </w:rPr>
        <w:t>10434.41</w:t>
      </w:r>
      <w:r>
        <w:rPr>
          <w:rFonts w:hint="eastAsia" w:ascii="Times New Roman" w:hAnsi="Times New Roman" w:eastAsia="方正仿宋_GBK" w:cs="Times New Roman"/>
          <w:bCs/>
          <w:kern w:val="2"/>
          <w:sz w:val="32"/>
          <w:szCs w:val="32"/>
          <w:highlight w:val="none"/>
          <w:lang w:val="zh-CN" w:eastAsia="zh-CN" w:bidi="ar-SA"/>
        </w:rPr>
        <w:t>元。</w:t>
      </w:r>
    </w:p>
    <w:p w14:paraId="675463CA">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zh-CN" w:eastAsia="zh-CN" w:bidi="ar-SA"/>
        </w:rPr>
      </w:pPr>
      <w:r>
        <w:rPr>
          <w:rFonts w:hint="eastAsia" w:ascii="Times New Roman" w:hAnsi="Times New Roman" w:eastAsia="方正仿宋_GBK" w:cs="Times New Roman"/>
          <w:bCs/>
          <w:kern w:val="2"/>
          <w:sz w:val="32"/>
          <w:szCs w:val="32"/>
          <w:highlight w:val="none"/>
          <w:lang w:val="zh-CN" w:eastAsia="zh-CN" w:bidi="ar-SA"/>
        </w:rPr>
        <w:t>（国有资产占有使用情况表详见附表）</w:t>
      </w:r>
    </w:p>
    <w:tbl>
      <w:tblPr>
        <w:tblStyle w:val="6"/>
        <w:tblpPr w:leftFromText="180" w:rightFromText="180" w:topFromText="100" w:bottomFromText="100" w:vertAnchor="text" w:horzAnchor="page" w:tblpX="534" w:tblpY="490"/>
        <w:tblOverlap w:val="never"/>
        <w:tblW w:w="240" w:type="dxa"/>
        <w:tblInd w:w="-15" w:type="dxa"/>
        <w:tblLayout w:type="fixed"/>
        <w:tblCellMar>
          <w:top w:w="0" w:type="dxa"/>
          <w:left w:w="0" w:type="dxa"/>
          <w:bottom w:w="0" w:type="dxa"/>
          <w:right w:w="0" w:type="dxa"/>
        </w:tblCellMar>
      </w:tblPr>
      <w:tblGrid>
        <w:gridCol w:w="240"/>
      </w:tblGrid>
      <w:tr w14:paraId="24902FA0">
        <w:tblPrEx>
          <w:tblCellMar>
            <w:top w:w="0" w:type="dxa"/>
            <w:left w:w="0" w:type="dxa"/>
            <w:bottom w:w="0" w:type="dxa"/>
            <w:right w:w="0" w:type="dxa"/>
          </w:tblCellMar>
        </w:tblPrEx>
        <w:trPr>
          <w:trHeight w:val="495" w:hRule="atLeast"/>
        </w:trPr>
        <w:tc>
          <w:tcPr>
            <w:tcW w:w="240" w:type="dxa"/>
            <w:tcBorders>
              <w:top w:val="nil"/>
              <w:left w:val="nil"/>
              <w:bottom w:val="nil"/>
              <w:right w:val="nil"/>
            </w:tcBorders>
            <w:noWrap w:val="0"/>
            <w:vAlign w:val="center"/>
          </w:tcPr>
          <w:p w14:paraId="3EB55EF3">
            <w:pPr>
              <w:keepNext w:val="0"/>
              <w:keepLines w:val="0"/>
              <w:pageBreakBefore w:val="0"/>
              <w:widowControl/>
              <w:kinsoku/>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10F15577">
        <w:tblPrEx>
          <w:tblCellMar>
            <w:top w:w="0" w:type="dxa"/>
            <w:left w:w="0" w:type="dxa"/>
            <w:bottom w:w="0" w:type="dxa"/>
            <w:right w:w="0" w:type="dxa"/>
          </w:tblCellMar>
        </w:tblPrEx>
        <w:trPr>
          <w:trHeight w:val="347" w:hRule="atLeast"/>
        </w:trPr>
        <w:tc>
          <w:tcPr>
            <w:tcW w:w="240" w:type="dxa"/>
            <w:tcBorders>
              <w:top w:val="nil"/>
              <w:left w:val="nil"/>
              <w:bottom w:val="nil"/>
              <w:right w:val="nil"/>
            </w:tcBorders>
            <w:noWrap w:val="0"/>
            <w:vAlign w:val="center"/>
          </w:tcPr>
          <w:p w14:paraId="06F3FD5D">
            <w:pPr>
              <w:keepNext w:val="0"/>
              <w:keepLines w:val="0"/>
              <w:pageBreakBefore w:val="0"/>
              <w:widowControl/>
              <w:kinsoku/>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68A34C40">
        <w:tblPrEx>
          <w:tblCellMar>
            <w:top w:w="0" w:type="dxa"/>
            <w:left w:w="0" w:type="dxa"/>
            <w:bottom w:w="0" w:type="dxa"/>
            <w:right w:w="0" w:type="dxa"/>
          </w:tblCellMar>
        </w:tblPrEx>
        <w:trPr>
          <w:trHeight w:val="415" w:hRule="atLeast"/>
        </w:trPr>
        <w:tc>
          <w:tcPr>
            <w:tcW w:w="240" w:type="dxa"/>
            <w:tcBorders>
              <w:top w:val="nil"/>
              <w:left w:val="nil"/>
              <w:bottom w:val="nil"/>
              <w:right w:val="nil"/>
            </w:tcBorders>
            <w:noWrap w:val="0"/>
            <w:vAlign w:val="center"/>
          </w:tcPr>
          <w:p w14:paraId="12F41FE7">
            <w:pPr>
              <w:keepNext w:val="0"/>
              <w:keepLines w:val="0"/>
              <w:pageBreakBefore w:val="0"/>
              <w:widowControl/>
              <w:kinsoku/>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09EFF733">
        <w:tblPrEx>
          <w:tblCellMar>
            <w:top w:w="0" w:type="dxa"/>
            <w:left w:w="0" w:type="dxa"/>
            <w:bottom w:w="0" w:type="dxa"/>
            <w:right w:w="0" w:type="dxa"/>
          </w:tblCellMar>
        </w:tblPrEx>
        <w:trPr>
          <w:trHeight w:val="345" w:hRule="atLeast"/>
        </w:trPr>
        <w:tc>
          <w:tcPr>
            <w:tcW w:w="240" w:type="dxa"/>
            <w:tcBorders>
              <w:top w:val="nil"/>
              <w:left w:val="nil"/>
              <w:bottom w:val="nil"/>
              <w:right w:val="nil"/>
            </w:tcBorders>
            <w:noWrap w:val="0"/>
            <w:vAlign w:val="center"/>
          </w:tcPr>
          <w:p w14:paraId="1448BDC3">
            <w:pPr>
              <w:keepNext w:val="0"/>
              <w:keepLines w:val="0"/>
              <w:pageBreakBefore w:val="0"/>
              <w:widowControl/>
              <w:kinsoku/>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5389CE88">
        <w:tblPrEx>
          <w:tblCellMar>
            <w:top w:w="0" w:type="dxa"/>
            <w:left w:w="0" w:type="dxa"/>
            <w:bottom w:w="0" w:type="dxa"/>
            <w:right w:w="0" w:type="dxa"/>
          </w:tblCellMar>
        </w:tblPrEx>
        <w:trPr>
          <w:trHeight w:val="395" w:hRule="atLeast"/>
        </w:trPr>
        <w:tc>
          <w:tcPr>
            <w:tcW w:w="240" w:type="dxa"/>
            <w:tcBorders>
              <w:top w:val="nil"/>
              <w:left w:val="nil"/>
              <w:bottom w:val="nil"/>
              <w:right w:val="nil"/>
            </w:tcBorders>
            <w:noWrap w:val="0"/>
            <w:vAlign w:val="center"/>
          </w:tcPr>
          <w:p w14:paraId="45EC0E4A">
            <w:pPr>
              <w:keepNext w:val="0"/>
              <w:keepLines w:val="0"/>
              <w:pageBreakBefore w:val="0"/>
              <w:widowControl/>
              <w:kinsoku/>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191542CF">
        <w:tblPrEx>
          <w:tblCellMar>
            <w:top w:w="0" w:type="dxa"/>
            <w:left w:w="0" w:type="dxa"/>
            <w:bottom w:w="0" w:type="dxa"/>
            <w:right w:w="0" w:type="dxa"/>
          </w:tblCellMar>
        </w:tblPrEx>
        <w:trPr>
          <w:trHeight w:val="358" w:hRule="atLeast"/>
        </w:trPr>
        <w:tc>
          <w:tcPr>
            <w:tcW w:w="240" w:type="dxa"/>
            <w:tcBorders>
              <w:top w:val="nil"/>
              <w:left w:val="nil"/>
              <w:bottom w:val="nil"/>
              <w:right w:val="nil"/>
            </w:tcBorders>
            <w:noWrap w:val="0"/>
            <w:vAlign w:val="center"/>
          </w:tcPr>
          <w:p w14:paraId="64EE39C0">
            <w:pPr>
              <w:keepNext w:val="0"/>
              <w:keepLines w:val="0"/>
              <w:pageBreakBefore w:val="0"/>
              <w:widowControl/>
              <w:kinsoku/>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00195102">
        <w:tblPrEx>
          <w:tblCellMar>
            <w:top w:w="0" w:type="dxa"/>
            <w:left w:w="0" w:type="dxa"/>
            <w:bottom w:w="0" w:type="dxa"/>
            <w:right w:w="0" w:type="dxa"/>
          </w:tblCellMar>
        </w:tblPrEx>
        <w:trPr>
          <w:trHeight w:val="563" w:hRule="atLeast"/>
        </w:trPr>
        <w:tc>
          <w:tcPr>
            <w:tcW w:w="240" w:type="dxa"/>
            <w:tcBorders>
              <w:top w:val="nil"/>
              <w:left w:val="nil"/>
              <w:bottom w:val="nil"/>
              <w:right w:val="nil"/>
            </w:tcBorders>
            <w:noWrap w:val="0"/>
            <w:vAlign w:val="center"/>
          </w:tcPr>
          <w:p w14:paraId="4A48F2F2">
            <w:pPr>
              <w:keepNext w:val="0"/>
              <w:keepLines w:val="0"/>
              <w:pageBreakBefore w:val="0"/>
              <w:widowControl/>
              <w:kinsoku/>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78B92CD8">
        <w:tblPrEx>
          <w:tblCellMar>
            <w:top w:w="0" w:type="dxa"/>
            <w:left w:w="0" w:type="dxa"/>
            <w:bottom w:w="0" w:type="dxa"/>
            <w:right w:w="0" w:type="dxa"/>
          </w:tblCellMar>
        </w:tblPrEx>
        <w:trPr>
          <w:trHeight w:val="495" w:hRule="atLeast"/>
        </w:trPr>
        <w:tc>
          <w:tcPr>
            <w:tcW w:w="240" w:type="dxa"/>
            <w:noWrap w:val="0"/>
            <w:vAlign w:val="center"/>
          </w:tcPr>
          <w:p w14:paraId="61347107">
            <w:pPr>
              <w:keepNext w:val="0"/>
              <w:keepLines w:val="0"/>
              <w:pageBreakBefore w:val="0"/>
              <w:widowControl/>
              <w:kinsoku/>
              <w:overflowPunct/>
              <w:topLinePunct w:val="0"/>
              <w:autoSpaceDE/>
              <w:autoSpaceDN/>
              <w:bidi w:val="0"/>
              <w:spacing w:line="590" w:lineRule="exact"/>
              <w:jc w:val="left"/>
              <w:textAlignment w:val="auto"/>
              <w:rPr>
                <w:rFonts w:ascii="Times New Roman" w:hAnsi="Times New Roman" w:eastAsia="Times New Roman"/>
                <w:kern w:val="0"/>
                <w:sz w:val="20"/>
                <w:szCs w:val="20"/>
                <w:highlight w:val="none"/>
              </w:rPr>
            </w:pPr>
          </w:p>
        </w:tc>
      </w:tr>
    </w:tbl>
    <w:p w14:paraId="2DE773E4">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三、政府采购支出情况</w:t>
      </w:r>
    </w:p>
    <w:p w14:paraId="143E7007">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2024年度，单位政府采购支出总额5000.00元，其中：政府采购货物支出5000.00元；政府采购工程支出0.00元；政府采购服务支出0.00元。授予中小企业合同金额5000.00元，其中：授予小微企业合同金额5000.00元。</w:t>
      </w:r>
    </w:p>
    <w:p w14:paraId="14C6A624">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四、单位绩效自评情况</w:t>
      </w:r>
    </w:p>
    <w:p w14:paraId="7995D0DA">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单位绩效自评情况详见附表。</w:t>
      </w:r>
    </w:p>
    <w:p w14:paraId="25364100">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五、其他重要事项情况说明</w:t>
      </w:r>
    </w:p>
    <w:p w14:paraId="707CC94A">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无。</w:t>
      </w:r>
    </w:p>
    <w:p w14:paraId="730405C9">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六、相关口径说明</w:t>
      </w:r>
    </w:p>
    <w:p w14:paraId="4181BE6E">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（一）基本支出中人员经费包括工资福利支出和对个人和家庭的补助，公用经费包括商品和服务支出、资本性支出等人员经费以外的支出。</w:t>
      </w:r>
    </w:p>
    <w:p w14:paraId="261922FC">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（二）机关运行经费指行政单位和参照公务员法管理的事业单位使用一般公共预算财政拨款安排的基本支出中的公用经费支出。</w:t>
      </w:r>
    </w:p>
    <w:p w14:paraId="05EF3E24">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082D0E66">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44E948E8">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cs="方正小标宋简体"/>
          <w:sz w:val="32"/>
          <w:szCs w:val="32"/>
          <w:highlight w:val="none"/>
        </w:rPr>
      </w:pPr>
    </w:p>
    <w:p w14:paraId="0D782D9C">
      <w:pPr>
        <w:keepNext w:val="0"/>
        <w:keepLines w:val="0"/>
        <w:pageBreakBefore w:val="0"/>
        <w:kinsoku/>
        <w:overflowPunct/>
        <w:topLinePunct w:val="0"/>
        <w:autoSpaceDE/>
        <w:autoSpaceDN/>
        <w:bidi w:val="0"/>
        <w:spacing w:line="590" w:lineRule="exact"/>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65C6C682">
      <w:pPr>
        <w:keepNext w:val="0"/>
        <w:keepLines w:val="0"/>
        <w:pageBreakBefore w:val="0"/>
        <w:widowControl/>
        <w:kinsoku/>
        <w:overflowPunct/>
        <w:topLinePunct w:val="0"/>
        <w:autoSpaceDE/>
        <w:autoSpaceDN/>
        <w:bidi w:val="0"/>
        <w:snapToGrid w:val="0"/>
        <w:spacing w:line="590" w:lineRule="exact"/>
        <w:ind w:firstLine="538"/>
        <w:jc w:val="both"/>
        <w:textAlignment w:val="auto"/>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A90581D">
      <w:pPr>
        <w:keepNext w:val="0"/>
        <w:keepLines w:val="0"/>
        <w:pageBreakBefore w:val="0"/>
        <w:kinsoku/>
        <w:overflowPunct/>
        <w:topLinePunct w:val="0"/>
        <w:autoSpaceDE/>
        <w:autoSpaceDN/>
        <w:bidi w:val="0"/>
        <w:spacing w:line="590" w:lineRule="exact"/>
        <w:textAlignment w:val="auto"/>
        <w:rPr>
          <w:highlight w:val="none"/>
        </w:rPr>
      </w:pPr>
    </w:p>
    <w:p w14:paraId="4758EBFA">
      <w:pPr>
        <w:keepNext w:val="0"/>
        <w:keepLines w:val="0"/>
        <w:pageBreakBefore w:val="0"/>
        <w:kinsoku/>
        <w:overflowPunct/>
        <w:topLinePunct w:val="0"/>
        <w:autoSpaceDE/>
        <w:autoSpaceDN/>
        <w:bidi w:val="0"/>
        <w:spacing w:line="590" w:lineRule="exact"/>
        <w:textAlignment w:val="auto"/>
        <w:rPr>
          <w:rFonts w:ascii="Arial" w:hAnsi="Arial" w:eastAsia="Arial" w:cs="Arial"/>
          <w:b/>
          <w:sz w:val="36"/>
        </w:rPr>
      </w:pPr>
      <w:r>
        <w:rPr>
          <w:rFonts w:ascii="Arial" w:hAnsi="Arial" w:eastAsia="Arial" w:cs="Arial"/>
          <w:b/>
          <w:sz w:val="36"/>
        </w:rPr>
        <w:t>监督索引号53042400347700301111</w:t>
      </w:r>
    </w:p>
    <w:sectPr>
      <w:headerReference r:id="rId3" w:type="default"/>
      <w:footerReference r:id="rId4" w:type="default"/>
      <w:footerReference r:id="rId5" w:type="even"/>
      <w:pgSz w:w="11906" w:h="16838"/>
      <w:pgMar w:top="2041" w:right="1474" w:bottom="130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美黑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EB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2E601F">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D2E601F">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832C">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348A121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2C1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D5B44"/>
    <w:rsid w:val="00295221"/>
    <w:rsid w:val="004428D7"/>
    <w:rsid w:val="007769FD"/>
    <w:rsid w:val="009D25BF"/>
    <w:rsid w:val="01207E49"/>
    <w:rsid w:val="01ED26C2"/>
    <w:rsid w:val="025811C6"/>
    <w:rsid w:val="02896555"/>
    <w:rsid w:val="029B292C"/>
    <w:rsid w:val="02B75F93"/>
    <w:rsid w:val="02B86D2D"/>
    <w:rsid w:val="02B871BB"/>
    <w:rsid w:val="02E24634"/>
    <w:rsid w:val="02FB33E1"/>
    <w:rsid w:val="03305DE9"/>
    <w:rsid w:val="034D0487"/>
    <w:rsid w:val="03B11286"/>
    <w:rsid w:val="03CA58FE"/>
    <w:rsid w:val="041A7827"/>
    <w:rsid w:val="041C0FF2"/>
    <w:rsid w:val="04BC11CE"/>
    <w:rsid w:val="04C10576"/>
    <w:rsid w:val="05174717"/>
    <w:rsid w:val="0574646B"/>
    <w:rsid w:val="057E5747"/>
    <w:rsid w:val="058F13D8"/>
    <w:rsid w:val="059C5753"/>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065834"/>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74475"/>
    <w:rsid w:val="1F1D5657"/>
    <w:rsid w:val="1F8D7EC2"/>
    <w:rsid w:val="1FFF13D6"/>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2230A"/>
    <w:rsid w:val="2B1B7108"/>
    <w:rsid w:val="2B87285B"/>
    <w:rsid w:val="2BA25686"/>
    <w:rsid w:val="2BBB79B6"/>
    <w:rsid w:val="2BD173A2"/>
    <w:rsid w:val="2C39073D"/>
    <w:rsid w:val="2C49057B"/>
    <w:rsid w:val="2C6D413B"/>
    <w:rsid w:val="2C8B49F0"/>
    <w:rsid w:val="2CA07FE0"/>
    <w:rsid w:val="2CF73501"/>
    <w:rsid w:val="2CFA1B54"/>
    <w:rsid w:val="2D0D3A8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9B67E6"/>
    <w:rsid w:val="35E72C38"/>
    <w:rsid w:val="360B4DA5"/>
    <w:rsid w:val="364F30EB"/>
    <w:rsid w:val="369F7346"/>
    <w:rsid w:val="36A645FC"/>
    <w:rsid w:val="36DE447A"/>
    <w:rsid w:val="36F315F4"/>
    <w:rsid w:val="37282ED2"/>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6D183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BC401A"/>
    <w:rsid w:val="44E53468"/>
    <w:rsid w:val="44E91DF6"/>
    <w:rsid w:val="45203683"/>
    <w:rsid w:val="453244B9"/>
    <w:rsid w:val="45A4152D"/>
    <w:rsid w:val="45A867F1"/>
    <w:rsid w:val="45DB537A"/>
    <w:rsid w:val="45ED4C8D"/>
    <w:rsid w:val="466729D6"/>
    <w:rsid w:val="47D42FF0"/>
    <w:rsid w:val="48E1676A"/>
    <w:rsid w:val="48E40429"/>
    <w:rsid w:val="49181F09"/>
    <w:rsid w:val="49247934"/>
    <w:rsid w:val="49723E09"/>
    <w:rsid w:val="49B2744B"/>
    <w:rsid w:val="49C155BF"/>
    <w:rsid w:val="4A81167B"/>
    <w:rsid w:val="4AAC7FF4"/>
    <w:rsid w:val="4ACC74A7"/>
    <w:rsid w:val="4B3C05BE"/>
    <w:rsid w:val="4BA86912"/>
    <w:rsid w:val="4BEA0B1C"/>
    <w:rsid w:val="4C2F3911"/>
    <w:rsid w:val="4C9A6C67"/>
    <w:rsid w:val="4CB51270"/>
    <w:rsid w:val="4CC672B1"/>
    <w:rsid w:val="4D3B1B78"/>
    <w:rsid w:val="4DDDF41F"/>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3B7525"/>
    <w:rsid w:val="57AB0622"/>
    <w:rsid w:val="57BC6DB9"/>
    <w:rsid w:val="57E722A5"/>
    <w:rsid w:val="586645BB"/>
    <w:rsid w:val="588751F0"/>
    <w:rsid w:val="58E11859"/>
    <w:rsid w:val="58ED1581"/>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A058C2"/>
    <w:rsid w:val="5DC9252F"/>
    <w:rsid w:val="5DE073F8"/>
    <w:rsid w:val="5E102C77"/>
    <w:rsid w:val="5E181AE8"/>
    <w:rsid w:val="5E200FB4"/>
    <w:rsid w:val="5E286A5D"/>
    <w:rsid w:val="5E715CB3"/>
    <w:rsid w:val="5E7721E8"/>
    <w:rsid w:val="5F400E00"/>
    <w:rsid w:val="5F585DDC"/>
    <w:rsid w:val="5FCD49D0"/>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8D44836"/>
    <w:rsid w:val="69022D41"/>
    <w:rsid w:val="69425B67"/>
    <w:rsid w:val="695176FB"/>
    <w:rsid w:val="69B61240"/>
    <w:rsid w:val="69FB41BB"/>
    <w:rsid w:val="6A340551"/>
    <w:rsid w:val="6A3A2708"/>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1E467C"/>
    <w:rsid w:val="7A840A52"/>
    <w:rsid w:val="7A8D4744"/>
    <w:rsid w:val="7A8D5499"/>
    <w:rsid w:val="7AA028C5"/>
    <w:rsid w:val="7AD95CEC"/>
    <w:rsid w:val="7B482360"/>
    <w:rsid w:val="7B886F65"/>
    <w:rsid w:val="7B991389"/>
    <w:rsid w:val="7BA78305"/>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1BB938"/>
    <w:rsid w:val="7F2A6FBC"/>
    <w:rsid w:val="7F4E0757"/>
    <w:rsid w:val="7F6C1599"/>
    <w:rsid w:val="7F6E7B17"/>
    <w:rsid w:val="7FE31A58"/>
    <w:rsid w:val="F4F41A13"/>
    <w:rsid w:val="FAFF30FB"/>
    <w:rsid w:val="FFDFE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cs="仿宋_GB2312"/>
      <w:kern w:val="0"/>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首行缩进 21"/>
    <w:qFormat/>
    <w:uiPriority w:val="0"/>
    <w:pPr>
      <w:widowControl w:val="0"/>
      <w:spacing w:after="120" w:afterLines="0"/>
      <w:ind w:left="420" w:leftChars="200" w:firstLine="420" w:firstLineChars="200"/>
      <w:jc w:val="both"/>
    </w:pPr>
    <w:rPr>
      <w:rFonts w:ascii="Calibri" w:hAnsi="Calibri" w:eastAsia="宋体" w:cs="Times New Roman"/>
      <w:kern w:val="0"/>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16</Pages>
  <Words>6360</Words>
  <Characters>7446</Characters>
  <Lines>0</Lines>
  <Paragraphs>0</Paragraphs>
  <TotalTime>26</TotalTime>
  <ScaleCrop>false</ScaleCrop>
  <LinksUpToDate>false</LinksUpToDate>
  <CharactersWithSpaces>7469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2024-06-03T09:34:00Z</dcterms:created>
  <dc:creator>李瑞婷(拟稿)</dc:creator>
  <cp:lastModifiedBy>柳思榕</cp:lastModifiedBy>
  <cp:lastPrinted>2024-07-30T14:24:00Z</cp:lastPrinted>
  <dcterms:modified xsi:type="dcterms:W3CDTF">2025-09-17T16:48:03Z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C16827D05CE3466990F24F252878018E_12</vt:lpwstr>
  </property>
  <property fmtid="{D5CDD505-2E9C-101B-9397-08002B2CF9AE}" pid="3" name="KSOProductBuildVer">
    <vt:lpwstr>2052-12.8.2.1119</vt:lpwstr>
  </property>
  <property fmtid="{D5CDD505-2E9C-101B-9397-08002B2CF9AE}" pid="4" name="KSOTemplateDocerSaveRecord">
    <vt:lpwstr>eyJoZGlkIjoiNWMxZDkxZDU2ODFhMzVkN2ZjNzdhODFlOThkMTdmMDEiLCJ1c2VySWQiOiIxMTQ0NTA3MzQ5In0=</vt:lpwstr>
  </property>
</Properties>
</file>