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14AE1">
      <w:pPr>
        <w:rPr>
          <w:rFonts w:ascii="Arial" w:hAnsi="Arial" w:eastAsia="Arial" w:cs="Arial"/>
          <w:b/>
          <w:sz w:val="36"/>
        </w:rPr>
      </w:pPr>
      <w:r>
        <w:rPr>
          <w:rFonts w:ascii="Arial" w:hAnsi="Arial" w:eastAsia="Arial" w:cs="Arial"/>
          <w:b/>
          <w:sz w:val="36"/>
        </w:rPr>
        <w:t>监督索引号53042400420301000</w:t>
      </w:r>
    </w:p>
    <w:p w14:paraId="314AF3F5">
      <w:pPr>
        <w:jc w:val="center"/>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olor w:val="auto"/>
          <w:sz w:val="36"/>
          <w:lang w:val="zh-CN"/>
        </w:rPr>
        <w:t>中国共产党华宁县委员会组织部</w:t>
      </w:r>
      <w:r>
        <w:rPr>
          <w:rFonts w:hint="eastAsia" w:ascii="方正小标宋简体" w:hAnsi="方正小标宋简体" w:eastAsia="方正小标宋简体" w:cs="方正小标宋简体"/>
          <w:color w:val="auto"/>
          <w:sz w:val="36"/>
          <w:szCs w:val="36"/>
          <w:highlight w:val="none"/>
          <w:lang w:val="en-US" w:eastAsia="zh-CN"/>
        </w:rPr>
        <w:t>2024</w:t>
      </w:r>
      <w:r>
        <w:rPr>
          <w:rFonts w:hint="eastAsia" w:ascii="方正小标宋简体" w:hAnsi="方正小标宋简体" w:eastAsia="方正小标宋简体" w:cs="方正小标宋简体"/>
          <w:color w:val="auto"/>
          <w:sz w:val="36"/>
          <w:szCs w:val="36"/>
          <w:highlight w:val="none"/>
        </w:rPr>
        <w:t>年度部门决算</w:t>
      </w:r>
    </w:p>
    <w:p w14:paraId="64C49809">
      <w:pPr>
        <w:jc w:val="center"/>
        <w:rPr>
          <w:rFonts w:hint="eastAsia" w:ascii="方正小标宋简体" w:hAnsi="方正小标宋简体" w:eastAsia="方正小标宋简体" w:cs="方正小标宋简体"/>
          <w:color w:val="auto"/>
          <w:sz w:val="36"/>
          <w:szCs w:val="36"/>
          <w:highlight w:val="none"/>
        </w:rPr>
      </w:pPr>
    </w:p>
    <w:p w14:paraId="630C5EB1">
      <w:pPr>
        <w:jc w:val="center"/>
        <w:outlineLvl w:val="0"/>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目录</w:t>
      </w:r>
    </w:p>
    <w:p w14:paraId="07928440">
      <w:pPr>
        <w:jc w:val="left"/>
        <w:rPr>
          <w:rFonts w:hint="eastAsia" w:ascii="黑体" w:hAnsi="黑体" w:eastAsia="黑体"/>
          <w:color w:val="auto"/>
          <w:sz w:val="30"/>
          <w:szCs w:val="30"/>
          <w:highlight w:val="none"/>
        </w:rPr>
      </w:pPr>
    </w:p>
    <w:p w14:paraId="6DEC0C3F">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第一部分  </w:t>
      </w:r>
      <w:r>
        <w:rPr>
          <w:rFonts w:hint="eastAsia" w:ascii="黑体" w:hAnsi="黑体" w:eastAsia="黑体"/>
          <w:color w:val="auto"/>
          <w:sz w:val="30"/>
          <w:szCs w:val="30"/>
          <w:highlight w:val="none"/>
          <w:lang w:eastAsia="zh-CN"/>
        </w:rPr>
        <w:t>部门</w:t>
      </w:r>
      <w:r>
        <w:rPr>
          <w:rFonts w:hint="eastAsia" w:ascii="黑体" w:hAnsi="黑体" w:eastAsia="黑体"/>
          <w:color w:val="auto"/>
          <w:sz w:val="30"/>
          <w:szCs w:val="30"/>
          <w:highlight w:val="none"/>
        </w:rPr>
        <w:t>概况</w:t>
      </w:r>
    </w:p>
    <w:p w14:paraId="77BA835A">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一、主要职</w:t>
      </w:r>
      <w:r>
        <w:rPr>
          <w:rFonts w:hint="eastAsia" w:ascii="楷体" w:hAnsi="楷体" w:eastAsia="楷体"/>
          <w:color w:val="auto"/>
          <w:sz w:val="30"/>
          <w:szCs w:val="30"/>
          <w:highlight w:val="none"/>
          <w:lang w:eastAsia="zh-CN"/>
        </w:rPr>
        <w:t>责</w:t>
      </w:r>
    </w:p>
    <w:p w14:paraId="5D623913">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二、</w:t>
      </w:r>
      <w:r>
        <w:rPr>
          <w:rFonts w:hint="eastAsia" w:ascii="楷体" w:hAnsi="楷体" w:eastAsia="楷体"/>
          <w:color w:val="auto"/>
          <w:sz w:val="30"/>
          <w:szCs w:val="30"/>
          <w:highlight w:val="none"/>
          <w:lang w:eastAsia="zh-CN"/>
        </w:rPr>
        <w:t>基本情况</w:t>
      </w:r>
    </w:p>
    <w:p w14:paraId="1B0542FB">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三、重点工作概述</w:t>
      </w:r>
    </w:p>
    <w:p w14:paraId="2A92146C">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第二部分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年度部门决算表</w:t>
      </w:r>
    </w:p>
    <w:p w14:paraId="45C8733F">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一、收入支出决算表</w:t>
      </w:r>
    </w:p>
    <w:p w14:paraId="0A656BD7">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二、收入决算表</w:t>
      </w:r>
    </w:p>
    <w:p w14:paraId="14CF526B">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三、支出决算表</w:t>
      </w:r>
    </w:p>
    <w:p w14:paraId="2DD14714">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四、财政拨款收入支出决算表</w:t>
      </w:r>
    </w:p>
    <w:p w14:paraId="3C1CB5A7">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五、一般公共预算财政拨款收入支出决算表</w:t>
      </w:r>
    </w:p>
    <w:p w14:paraId="6FC0E5C1">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六、一般公共预算财政拨款基本支出决算表</w:t>
      </w:r>
    </w:p>
    <w:p w14:paraId="1D0DB892">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14:paraId="77072A05">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八</w:t>
      </w:r>
      <w:r>
        <w:rPr>
          <w:rFonts w:hint="eastAsia" w:ascii="楷体" w:hAnsi="楷体" w:eastAsia="楷体"/>
          <w:color w:val="auto"/>
          <w:sz w:val="30"/>
          <w:szCs w:val="30"/>
          <w:highlight w:val="none"/>
        </w:rPr>
        <w:t>、政府性基金预算财政拨款收入支出决算表</w:t>
      </w:r>
    </w:p>
    <w:p w14:paraId="7C636BED">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九、国有资本经营预算财政拨款收入支出决算表</w:t>
      </w:r>
    </w:p>
    <w:p w14:paraId="3D0929A7">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十</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财政拨款</w:t>
      </w:r>
      <w:r>
        <w:rPr>
          <w:rFonts w:hint="eastAsia" w:ascii="楷体" w:hAnsi="楷体" w:eastAsia="楷体"/>
          <w:color w:val="auto"/>
          <w:sz w:val="30"/>
          <w:szCs w:val="30"/>
          <w:highlight w:val="none"/>
        </w:rPr>
        <w:t>“三公”经费、行政参公单位机关运行经费情况表</w:t>
      </w:r>
    </w:p>
    <w:p w14:paraId="513E1896">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val="en-US" w:eastAsia="zh-CN"/>
        </w:rPr>
        <w:t>十一、一般公共预算财政拨款“三公”经费情况表</w:t>
      </w:r>
    </w:p>
    <w:p w14:paraId="10E5C195">
      <w:pPr>
        <w:jc w:val="left"/>
        <w:outlineLvl w:val="0"/>
        <w:rPr>
          <w:rFonts w:hint="eastAsia" w:ascii="楷体" w:hAnsi="楷体" w:eastAsia="楷体"/>
          <w:color w:val="auto"/>
          <w:sz w:val="30"/>
          <w:szCs w:val="30"/>
          <w:highlight w:val="none"/>
        </w:rPr>
      </w:pPr>
      <w:r>
        <w:rPr>
          <w:rFonts w:hint="eastAsia" w:ascii="黑体" w:hAnsi="黑体" w:eastAsia="黑体"/>
          <w:color w:val="auto"/>
          <w:sz w:val="30"/>
          <w:szCs w:val="30"/>
          <w:highlight w:val="none"/>
        </w:rPr>
        <w:t>第三部</w:t>
      </w:r>
      <w:r>
        <w:rPr>
          <w:rFonts w:hint="eastAsia" w:ascii="黑体" w:hAnsi="黑体" w:eastAsia="黑体"/>
          <w:color w:val="auto"/>
          <w:sz w:val="30"/>
          <w:szCs w:val="30"/>
          <w:highlight w:val="none"/>
          <w:lang w:eastAsia="zh-CN"/>
        </w:rPr>
        <w:t>分</w:t>
      </w: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年度部门决算情况说明</w:t>
      </w:r>
    </w:p>
    <w:p w14:paraId="1C003DDF">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一、收入决算情况说明</w:t>
      </w:r>
    </w:p>
    <w:p w14:paraId="425E57DC">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二、支出决算情况说明</w:t>
      </w:r>
    </w:p>
    <w:p w14:paraId="26F17B0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三、一般公共预算财政拨款支出决算情况说明</w:t>
      </w:r>
    </w:p>
    <w:p w14:paraId="28789D94">
      <w:pPr>
        <w:widowControl/>
        <w:snapToGrid w:val="0"/>
        <w:spacing w:before="100" w:after="100" w:line="360" w:lineRule="auto"/>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四、财政拨款“三公”经费支出决算情况说明</w:t>
      </w:r>
    </w:p>
    <w:p w14:paraId="3936180A">
      <w:pPr>
        <w:widowControl/>
        <w:snapToGrid w:val="0"/>
        <w:spacing w:before="100" w:after="100" w:line="360" w:lineRule="auto"/>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第四部分</w:t>
      </w:r>
      <w:r>
        <w:rPr>
          <w:rFonts w:hint="eastAsia" w:ascii="楷体" w:hAnsi="楷体" w:eastAsia="楷体"/>
          <w:color w:val="auto"/>
          <w:sz w:val="30"/>
          <w:szCs w:val="30"/>
          <w:highlight w:val="none"/>
          <w:lang w:val="en-US" w:eastAsia="zh-CN"/>
        </w:rPr>
        <w:t xml:space="preserve">  </w:t>
      </w:r>
      <w:r>
        <w:rPr>
          <w:rFonts w:hint="eastAsia" w:ascii="黑体" w:hAnsi="黑体" w:eastAsia="黑体"/>
          <w:color w:val="auto"/>
          <w:sz w:val="30"/>
          <w:szCs w:val="30"/>
          <w:highlight w:val="none"/>
        </w:rPr>
        <w:t>其他重要事项及相关口径情况说明</w:t>
      </w:r>
    </w:p>
    <w:p w14:paraId="13E584A5">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w:t>
      </w:r>
      <w:r>
        <w:rPr>
          <w:rFonts w:hint="eastAsia" w:ascii="楷体" w:hAnsi="楷体" w:eastAsia="楷体"/>
          <w:color w:val="auto"/>
          <w:sz w:val="30"/>
          <w:szCs w:val="30"/>
          <w:highlight w:val="none"/>
        </w:rPr>
        <w:t>机关运行经费支出情况</w:t>
      </w:r>
    </w:p>
    <w:p w14:paraId="59870B2B">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国有资产占用情况</w:t>
      </w:r>
    </w:p>
    <w:p w14:paraId="5CEDA8B8">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政府采购支出情况</w:t>
      </w:r>
    </w:p>
    <w:p w14:paraId="18EDCF22">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四、</w:t>
      </w:r>
      <w:r>
        <w:rPr>
          <w:rFonts w:hint="eastAsia" w:ascii="楷体" w:hAnsi="楷体" w:eastAsia="楷体"/>
          <w:color w:val="auto"/>
          <w:sz w:val="30"/>
          <w:szCs w:val="30"/>
          <w:highlight w:val="none"/>
          <w:lang w:val="en-US" w:eastAsia="zh-CN"/>
        </w:rPr>
        <w:t>部门绩效自评情况</w:t>
      </w:r>
    </w:p>
    <w:p w14:paraId="16D8F5F2">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五、</w:t>
      </w:r>
      <w:r>
        <w:rPr>
          <w:rFonts w:hint="eastAsia" w:ascii="楷体" w:hAnsi="楷体" w:eastAsia="楷体"/>
          <w:color w:val="auto"/>
          <w:sz w:val="30"/>
          <w:szCs w:val="30"/>
          <w:highlight w:val="none"/>
          <w:lang w:val="en-US" w:eastAsia="zh-CN"/>
        </w:rPr>
        <w:t>其他重要事项情况说明</w:t>
      </w:r>
    </w:p>
    <w:p w14:paraId="576D78E6">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六、相关口径说明</w:t>
      </w:r>
    </w:p>
    <w:p w14:paraId="0C3FB34C">
      <w:pPr>
        <w:widowControl/>
        <w:snapToGrid w:val="0"/>
        <w:spacing w:before="100" w:after="100" w:line="360" w:lineRule="auto"/>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第</w:t>
      </w: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部分  名词解释</w:t>
      </w:r>
    </w:p>
    <w:p w14:paraId="349AA9AF">
      <w:pPr>
        <w:jc w:val="center"/>
        <w:rPr>
          <w:rFonts w:hint="eastAsia" w:ascii="黑体" w:hAnsi="黑体" w:eastAsia="黑体"/>
          <w:color w:val="auto"/>
          <w:sz w:val="32"/>
          <w:szCs w:val="32"/>
          <w:highlight w:val="none"/>
        </w:rPr>
      </w:pPr>
    </w:p>
    <w:p w14:paraId="7E3D6786">
      <w:pPr>
        <w:jc w:val="center"/>
        <w:rPr>
          <w:rFonts w:hint="eastAsia" w:ascii="黑体" w:hAnsi="黑体" w:eastAsia="黑体"/>
          <w:color w:val="auto"/>
          <w:sz w:val="32"/>
          <w:szCs w:val="32"/>
          <w:highlight w:val="none"/>
        </w:rPr>
      </w:pPr>
    </w:p>
    <w:p w14:paraId="79F11C3A">
      <w:pPr>
        <w:jc w:val="center"/>
        <w:rPr>
          <w:rFonts w:hint="eastAsia" w:ascii="黑体" w:hAnsi="黑体" w:eastAsia="黑体"/>
          <w:color w:val="auto"/>
          <w:sz w:val="32"/>
          <w:szCs w:val="32"/>
          <w:highlight w:val="none"/>
        </w:rPr>
      </w:pPr>
    </w:p>
    <w:p w14:paraId="63BCA10C">
      <w:pPr>
        <w:jc w:val="center"/>
        <w:rPr>
          <w:rFonts w:hint="eastAsia" w:ascii="黑体" w:hAnsi="黑体" w:eastAsia="黑体"/>
          <w:color w:val="auto"/>
          <w:sz w:val="32"/>
          <w:szCs w:val="32"/>
          <w:highlight w:val="none"/>
        </w:rPr>
      </w:pPr>
    </w:p>
    <w:p w14:paraId="489C2D84">
      <w:pPr>
        <w:jc w:val="center"/>
        <w:rPr>
          <w:rFonts w:hint="eastAsia" w:ascii="黑体" w:hAnsi="黑体" w:eastAsia="黑体"/>
          <w:color w:val="auto"/>
          <w:sz w:val="32"/>
          <w:szCs w:val="32"/>
          <w:highlight w:val="none"/>
        </w:rPr>
      </w:pPr>
    </w:p>
    <w:p w14:paraId="1ED64284">
      <w:pPr>
        <w:jc w:val="center"/>
        <w:rPr>
          <w:rFonts w:hint="eastAsia" w:ascii="黑体" w:hAnsi="黑体" w:eastAsia="黑体"/>
          <w:color w:val="auto"/>
          <w:sz w:val="32"/>
          <w:szCs w:val="32"/>
          <w:highlight w:val="none"/>
        </w:rPr>
      </w:pPr>
    </w:p>
    <w:p w14:paraId="17E611E6">
      <w:pPr>
        <w:jc w:val="center"/>
        <w:rPr>
          <w:rFonts w:hint="eastAsia" w:ascii="黑体" w:hAnsi="黑体" w:eastAsia="黑体"/>
          <w:color w:val="auto"/>
          <w:sz w:val="32"/>
          <w:szCs w:val="32"/>
          <w:highlight w:val="none"/>
        </w:rPr>
      </w:pPr>
    </w:p>
    <w:p w14:paraId="1BDAF3A9">
      <w:pPr>
        <w:jc w:val="both"/>
        <w:rPr>
          <w:rFonts w:hint="eastAsia" w:ascii="黑体" w:hAnsi="黑体" w:eastAsia="黑体"/>
          <w:color w:val="auto"/>
          <w:sz w:val="32"/>
          <w:szCs w:val="32"/>
          <w:highlight w:val="none"/>
        </w:rPr>
      </w:pPr>
    </w:p>
    <w:p w14:paraId="5D689330">
      <w:pPr>
        <w:jc w:val="center"/>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部门概况</w:t>
      </w:r>
    </w:p>
    <w:p w14:paraId="520C7AEA">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rPr>
        <w:t>一、主要</w:t>
      </w:r>
      <w:r>
        <w:rPr>
          <w:rFonts w:hint="eastAsia" w:ascii="黑体" w:hAnsi="黑体" w:eastAsia="黑体"/>
          <w:color w:val="auto"/>
          <w:sz w:val="30"/>
          <w:szCs w:val="30"/>
          <w:highlight w:val="none"/>
          <w:lang w:eastAsia="zh-CN"/>
        </w:rPr>
        <w:t>职责</w:t>
      </w:r>
    </w:p>
    <w:p w14:paraId="096F0FFE">
      <w:pPr>
        <w:pStyle w:val="10"/>
        <w:keepNext w:val="0"/>
        <w:keepLines w:val="0"/>
        <w:pageBreakBefore w:val="0"/>
        <w:widowControl w:val="0"/>
        <w:kinsoku/>
        <w:wordWrap/>
        <w:overflowPunct/>
        <w:topLinePunct w:val="0"/>
        <w:autoSpaceDE/>
        <w:autoSpaceDN/>
        <w:bidi w:val="0"/>
        <w:adjustRightInd/>
        <w:snapToGrid/>
        <w:spacing w:line="56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中国共产党华宁县委员会组织部是县委主管党的组织和干部工作的职能部门。主要职责是：一是贯彻党的基本路线，加强党的基层</w:t>
      </w:r>
      <w:r>
        <w:rPr>
          <w:rFonts w:hint="default" w:ascii="Times New Roman" w:hAnsi="Times New Roman" w:eastAsia="方正仿宋_GBK" w:cs="Times New Roman"/>
          <w:color w:val="auto"/>
          <w:sz w:val="32"/>
          <w:szCs w:val="32"/>
          <w:lang w:eastAsia="zh-CN"/>
        </w:rPr>
        <w:t>党</w:t>
      </w:r>
      <w:r>
        <w:rPr>
          <w:rFonts w:hint="default" w:ascii="Times New Roman" w:hAnsi="Times New Roman" w:eastAsia="方正仿宋_GBK" w:cs="Times New Roman"/>
          <w:color w:val="auto"/>
          <w:sz w:val="32"/>
          <w:szCs w:val="32"/>
        </w:rPr>
        <w:t>组织建设。研究制定加强党的基层</w:t>
      </w:r>
      <w:r>
        <w:rPr>
          <w:rFonts w:hint="default" w:ascii="Times New Roman" w:hAnsi="Times New Roman" w:eastAsia="方正仿宋_GBK" w:cs="Times New Roman"/>
          <w:color w:val="auto"/>
          <w:sz w:val="32"/>
          <w:szCs w:val="32"/>
          <w:lang w:eastAsia="zh-CN"/>
        </w:rPr>
        <w:t>党</w:t>
      </w:r>
      <w:r>
        <w:rPr>
          <w:rFonts w:hint="default" w:ascii="Times New Roman" w:hAnsi="Times New Roman" w:eastAsia="方正仿宋_GBK" w:cs="Times New Roman"/>
          <w:color w:val="auto"/>
          <w:sz w:val="32"/>
          <w:szCs w:val="32"/>
        </w:rPr>
        <w:t>组织建设措施，指导全县党组织建设；规划、督促抓好党员教育和党员监督管理工作；拟定全县发展党员计划和措施，充分发挥基层</w:t>
      </w:r>
      <w:r>
        <w:rPr>
          <w:rFonts w:hint="default" w:ascii="Times New Roman" w:hAnsi="Times New Roman" w:eastAsia="方正仿宋_GBK" w:cs="Times New Roman"/>
          <w:color w:val="auto"/>
          <w:sz w:val="32"/>
          <w:szCs w:val="32"/>
          <w:lang w:eastAsia="zh-CN"/>
        </w:rPr>
        <w:t>党</w:t>
      </w:r>
      <w:r>
        <w:rPr>
          <w:rFonts w:hint="default" w:ascii="Times New Roman" w:hAnsi="Times New Roman" w:eastAsia="方正仿宋_GBK" w:cs="Times New Roman"/>
          <w:color w:val="auto"/>
          <w:sz w:val="32"/>
          <w:szCs w:val="32"/>
        </w:rPr>
        <w:t>组织的战斗堡垒作用和党员先锋模范作用，促进全县经济和社会发展。二是研究和制定新形势下全县组织、干部人事工作的有关政策、制度和措施；加强领导班子建设，提高班子成员的整体素质。研究提出乡（镇）、县直各部、委、办、局的领导班子调整、配备的意见和建议；加强领导班子的思想作风建设；负责全县干部的考察和职务任免手续，优化班子结构。三是制定全县干部队伍发展规划，组织落实培养和选拔年轻干部、少数民族干部、妇女干部、非党干部及承办部分干部调配、交流工作。四是重视和抓好知识分子工作，选拔和培养优秀专业技术拔尖人才并组织开展有关活动。五是做好全县干部教育工作，拟定干部教育培训计划，有计划地组织进行培训。六是指导配合做好全县离（退）休干部工作，办理干部的退休审批手续，管理县委老干部局。七是</w:t>
      </w:r>
      <w:r>
        <w:rPr>
          <w:rFonts w:hint="default" w:ascii="Times New Roman" w:hAnsi="Times New Roman" w:eastAsia="方正仿宋_GBK" w:cs="Times New Roman"/>
          <w:color w:val="auto"/>
          <w:sz w:val="32"/>
          <w:szCs w:val="32"/>
          <w:lang w:eastAsia="zh-CN"/>
        </w:rPr>
        <w:t>做</w:t>
      </w:r>
      <w:r>
        <w:rPr>
          <w:rFonts w:hint="default" w:ascii="Times New Roman" w:hAnsi="Times New Roman" w:eastAsia="方正仿宋_GBK" w:cs="Times New Roman"/>
          <w:color w:val="auto"/>
          <w:sz w:val="32"/>
          <w:szCs w:val="32"/>
        </w:rPr>
        <w:t>好全县干部监督工作；管理党员和县管干部的申诉和来信来访工作；办理和落实政策、领导干部出国审查、干部工资福利审批等工作。八是认真做好党员、干部的统计和干部档案的管理工作；负责全县党费的收缴和管理工作。九是结合新形势、新任务的要求，搞好全县组织工作和干部调整研究工作，有针对性地及时向县委、市委组织部反映情况和问题，提出建议，供县委决策。十是组织部信访举报中心负责</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12380</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专用举报电话的受理、查核工作；受理反映县管科级领导班子和领导干部违反《党政领导干部选拔任用工作条例》及有关法规选人用人问题和领导干部政治思想作风廉洁自律等方面问题的举报；协助其他部门处理需要县委组织部参与的信访事项；承办市委组织部交办的信访举报事项；十一是组织部农村党员干部现代远程教育办公室负责全县农村党员干部现代远程教育工作的组织管理和指导；规划、制定现代远程教育实施意见、工作方案和规章制度；指导全县农村党员干部现代远程教育站点的建设、管理和维护；负责全县农村党员干部现代远程教育工作队伍的建设；指导、检查、督促各站点开展好远程教育，完成部领导交办的其他任务。</w:t>
      </w:r>
    </w:p>
    <w:p w14:paraId="156A4450">
      <w:pPr>
        <w:numPr>
          <w:ilvl w:val="0"/>
          <w:numId w:val="0"/>
        </w:num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二、基本情况</w:t>
      </w:r>
    </w:p>
    <w:p w14:paraId="067E3F21">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（一）机构设置情况</w:t>
      </w:r>
    </w:p>
    <w:p w14:paraId="0FF3F4C5">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我部门共设置7个内设机构，包括：</w:t>
      </w:r>
      <w:r>
        <w:rPr>
          <w:rFonts w:hint="default" w:ascii="Times New Roman" w:hAnsi="Times New Roman" w:eastAsia="方正仿宋_GBK" w:cs="Times New Roman"/>
          <w:color w:val="auto"/>
          <w:kern w:val="2"/>
          <w:sz w:val="32"/>
          <w:szCs w:val="32"/>
          <w:lang w:val="en-US" w:eastAsia="zh-CN" w:bidi="ar-SA"/>
        </w:rPr>
        <w:t>办公室、组织股（党代表联络办公室）、干部股、干部教育监督股（信访举报中心）、公务员管理股、人才工作股、离退休干部工作股。</w:t>
      </w:r>
    </w:p>
    <w:p w14:paraId="6F908AA4">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所属单位6个，分别是：</w:t>
      </w:r>
    </w:p>
    <w:p w14:paraId="3CBECC86">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中国共产党华宁县委员会组织部党员教育中心（党员干部现代化远程教育工作办公室）</w:t>
      </w:r>
    </w:p>
    <w:p w14:paraId="238BA0B4">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2.华宁县老干部活动中心</w:t>
      </w:r>
      <w:r>
        <w:rPr>
          <w:rFonts w:hint="eastAsia" w:ascii="Times New Roman" w:hAnsi="Times New Roman" w:eastAsia="方正仿宋_GBK" w:cs="Times New Roman"/>
          <w:color w:val="auto"/>
          <w:kern w:val="2"/>
          <w:sz w:val="32"/>
          <w:szCs w:val="32"/>
          <w:lang w:val="en-US" w:eastAsia="zh-CN" w:bidi="ar-SA"/>
        </w:rPr>
        <w:t>（华宁县老干部党校、华宁县老年大学）</w:t>
      </w:r>
    </w:p>
    <w:p w14:paraId="0F0EE243">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3.华宁县人才发展中心</w:t>
      </w:r>
    </w:p>
    <w:p w14:paraId="6E2EB6E9">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4.华宁县党群服务中心</w:t>
      </w:r>
    </w:p>
    <w:p w14:paraId="6ADBFB43">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5.华宁县干部人事档案管理中心</w:t>
      </w:r>
    </w:p>
    <w:p w14:paraId="743722F7">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6.华宁县离退休干部管理服务中心</w:t>
      </w:r>
    </w:p>
    <w:p w14:paraId="7C5F0561">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所属事业单位未单独核算。</w:t>
      </w:r>
    </w:p>
    <w:p w14:paraId="3BE93008">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（二）决算单位构成情况</w:t>
      </w:r>
    </w:p>
    <w:p w14:paraId="759579AB">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纳入我部门2024年度部门决算编报的单位共7个。分别是：</w:t>
      </w:r>
    </w:p>
    <w:p w14:paraId="2432893F">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en-US" w:eastAsia="zh-CN" w:bidi="ar-SA"/>
        </w:rPr>
        <w:t>1．行政单位：中</w:t>
      </w:r>
      <w:r>
        <w:rPr>
          <w:rFonts w:hint="default" w:ascii="Times New Roman" w:hAnsi="Times New Roman" w:eastAsia="方正仿宋_GBK" w:cs="Times New Roman"/>
          <w:color w:val="auto"/>
          <w:kern w:val="2"/>
          <w:sz w:val="32"/>
          <w:szCs w:val="32"/>
          <w:lang w:val="zh-CN" w:eastAsia="zh-CN" w:bidi="ar-SA"/>
        </w:rPr>
        <w:t>国共产党华宁县委员会组织部</w:t>
      </w:r>
    </w:p>
    <w:p w14:paraId="0C398AB7">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2．参照公务员法管理的事业单位：</w:t>
      </w:r>
      <w:r>
        <w:rPr>
          <w:rFonts w:hint="eastAsia" w:ascii="Times New Roman" w:hAnsi="Times New Roman" w:eastAsia="方正仿宋_GBK" w:cs="Times New Roman"/>
          <w:color w:val="auto"/>
          <w:kern w:val="2"/>
          <w:sz w:val="32"/>
          <w:szCs w:val="32"/>
          <w:lang w:val="en-US" w:eastAsia="zh-CN" w:bidi="ar-SA"/>
        </w:rPr>
        <w:t>中国共产党华宁县委员会组织部党员教育中心（党员干部现代远程教育工作办公室）</w:t>
      </w:r>
    </w:p>
    <w:p w14:paraId="33A4C303">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zh-CN" w:eastAsia="zh-CN" w:bidi="ar-SA"/>
        </w:rPr>
        <w:t>3．其他事业单位：</w:t>
      </w:r>
      <w:r>
        <w:rPr>
          <w:rFonts w:hint="default" w:ascii="Times New Roman" w:hAnsi="Times New Roman" w:eastAsia="方正仿宋_GBK" w:cs="Times New Roman"/>
          <w:color w:val="auto"/>
          <w:kern w:val="2"/>
          <w:sz w:val="32"/>
          <w:szCs w:val="32"/>
          <w:lang w:val="en-US" w:eastAsia="zh-CN" w:bidi="ar-SA"/>
        </w:rPr>
        <w:t>华宁县老干部活动中心</w:t>
      </w:r>
      <w:r>
        <w:rPr>
          <w:rFonts w:hint="eastAsia" w:ascii="Times New Roman" w:hAnsi="Times New Roman" w:eastAsia="方正仿宋_GBK" w:cs="Times New Roman"/>
          <w:color w:val="auto"/>
          <w:kern w:val="2"/>
          <w:sz w:val="32"/>
          <w:szCs w:val="32"/>
          <w:lang w:val="en-US" w:eastAsia="zh-CN" w:bidi="ar-SA"/>
        </w:rPr>
        <w:t>（华宁县老干部党校、华宁县老年大学）</w:t>
      </w:r>
      <w:r>
        <w:rPr>
          <w:rFonts w:hint="default" w:ascii="Times New Roman" w:hAnsi="Times New Roman" w:eastAsia="方正仿宋_GBK" w:cs="Times New Roman"/>
          <w:color w:val="auto"/>
          <w:kern w:val="2"/>
          <w:sz w:val="32"/>
          <w:szCs w:val="32"/>
          <w:lang w:val="zh-CN" w:eastAsia="zh-CN" w:bidi="ar-SA"/>
        </w:rPr>
        <w:t>、华宁县党群服务中心、华宁县干部人事档案管理中心、华宁县离退休</w:t>
      </w:r>
      <w:r>
        <w:rPr>
          <w:rFonts w:hint="default" w:ascii="Times New Roman" w:hAnsi="Times New Roman" w:eastAsia="方正仿宋_GBK" w:cs="Times New Roman"/>
          <w:color w:val="auto"/>
          <w:kern w:val="2"/>
          <w:sz w:val="32"/>
          <w:szCs w:val="32"/>
          <w:lang w:val="en-US" w:eastAsia="zh-CN" w:bidi="ar-SA"/>
        </w:rPr>
        <w:t>干部管理服务中心</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华宁县人才发展中心</w:t>
      </w:r>
    </w:p>
    <w:p w14:paraId="3972AAC6">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纳入我部门2024年度部门决算编报的单位与我部门所属单位范围保持一致。</w:t>
      </w:r>
    </w:p>
    <w:p w14:paraId="3802BE4C">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（三）部门人员和车辆的编制及实有情况</w:t>
      </w:r>
    </w:p>
    <w:p w14:paraId="5F325918">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我部门</w:t>
      </w:r>
      <w:r>
        <w:rPr>
          <w:rFonts w:hint="default" w:ascii="Times New Roman" w:hAnsi="Times New Roman" w:eastAsia="方正仿宋_GBK" w:cs="Times New Roman"/>
          <w:color w:val="auto"/>
          <w:kern w:val="2"/>
          <w:sz w:val="32"/>
          <w:szCs w:val="32"/>
          <w:lang w:val="en-US" w:eastAsia="zh-CN" w:bidi="ar-SA"/>
        </w:rPr>
        <w:t>2024</w:t>
      </w:r>
      <w:r>
        <w:rPr>
          <w:rFonts w:hint="eastAsia" w:ascii="Times New Roman" w:hAnsi="Times New Roman" w:eastAsia="方正仿宋_GBK" w:cs="Times New Roman"/>
          <w:color w:val="auto"/>
          <w:kern w:val="2"/>
          <w:sz w:val="32"/>
          <w:szCs w:val="32"/>
          <w:lang w:val="en-US" w:eastAsia="zh-CN" w:bidi="ar-SA"/>
        </w:rPr>
        <w:t>年末编制内实有人员37人。包括财政拨款开支经费的：公务员15人，参照公务员法管理人员3人，事业管理人员和专业技术人员18人，机关和事业工人1人；经费自理人员0人。</w:t>
      </w:r>
    </w:p>
    <w:p w14:paraId="316BE663">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我部门2024年末其他人员0人。包括财政拨款开支经费的人员0人；经费自理人员0人。</w:t>
      </w:r>
    </w:p>
    <w:p w14:paraId="2C6A3CD7">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年末尚未移交养老保险基金发放养老金的离退休人员共计0人（离休0人，退休0人）。年末由养老保险基金发放养老金的离退休人员9人（离休0人，退休9人）。年末学生0人。年末遗属2人。</w:t>
      </w:r>
    </w:p>
    <w:p w14:paraId="5840365C">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车辆编制1辆，在编实有车辆1辆，超编0辆。</w:t>
      </w:r>
    </w:p>
    <w:p w14:paraId="65B50910">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三、重点工作概述</w:t>
      </w:r>
    </w:p>
    <w:p w14:paraId="0CC0C441">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pacing w:val="0"/>
          <w:sz w:val="32"/>
          <w:szCs w:val="32"/>
          <w:lang w:eastAsia="zh-CN"/>
        </w:rPr>
      </w:pPr>
      <w:r>
        <w:rPr>
          <w:rFonts w:hint="default" w:ascii="Times New Roman" w:hAnsi="Times New Roman" w:eastAsia="方正楷体_GBK" w:cs="Times New Roman"/>
          <w:color w:val="auto"/>
          <w:spacing w:val="0"/>
          <w:kern w:val="0"/>
          <w:sz w:val="32"/>
          <w:szCs w:val="32"/>
          <w:highlight w:val="none"/>
          <w:lang w:val="en-US" w:eastAsia="zh-CN" w:bidi="ar"/>
        </w:rPr>
        <w:t>聚焦政治引领，持续拧紧思想“总开关”。</w:t>
      </w:r>
      <w:r>
        <w:rPr>
          <w:rFonts w:hint="default" w:ascii="Times New Roman" w:hAnsi="Times New Roman" w:eastAsia="方正仿宋_GBK" w:cs="Times New Roman"/>
          <w:b/>
          <w:bCs/>
          <w:color w:val="auto"/>
          <w:spacing w:val="0"/>
          <w:sz w:val="32"/>
          <w:szCs w:val="32"/>
          <w:highlight w:val="none"/>
          <w:lang w:val="en-US" w:eastAsia="zh-CN"/>
        </w:rPr>
        <w:t>高标准落实“第一议题”制度。</w:t>
      </w:r>
      <w:r>
        <w:rPr>
          <w:rFonts w:hint="default" w:ascii="Times New Roman" w:hAnsi="Times New Roman" w:eastAsia="方正仿宋_GBK" w:cs="Times New Roman"/>
          <w:b w:val="0"/>
          <w:bCs w:val="0"/>
          <w:color w:val="auto"/>
          <w:spacing w:val="0"/>
          <w:sz w:val="32"/>
          <w:szCs w:val="32"/>
          <w:highlight w:val="none"/>
          <w:lang w:val="en-US" w:eastAsia="zh-CN"/>
        </w:rPr>
        <w:t>督促各级党组织认真落实学习习近平重要讲话和重要指示批示精神，结合实际抓好贯彻落实。</w:t>
      </w:r>
      <w:r>
        <w:rPr>
          <w:rFonts w:hint="default" w:ascii="Times New Roman" w:hAnsi="Times New Roman" w:eastAsia="方正仿宋_GBK" w:cs="Times New Roman"/>
          <w:b/>
          <w:bCs/>
          <w:color w:val="auto"/>
          <w:spacing w:val="0"/>
          <w:sz w:val="32"/>
          <w:szCs w:val="32"/>
          <w:highlight w:val="none"/>
          <w:lang w:val="en-US" w:eastAsia="zh-CN"/>
        </w:rPr>
        <w:t>高质量完成党纪学习教育。</w:t>
      </w:r>
      <w:r>
        <w:rPr>
          <w:rFonts w:hint="default" w:ascii="Times New Roman" w:hAnsi="Times New Roman" w:eastAsia="方正仿宋_GBK" w:cs="Times New Roman"/>
          <w:b w:val="0"/>
          <w:bCs w:val="0"/>
          <w:color w:val="auto"/>
          <w:spacing w:val="0"/>
          <w:sz w:val="32"/>
          <w:szCs w:val="32"/>
          <w:highlight w:val="none"/>
          <w:lang w:val="en-US" w:eastAsia="zh-CN"/>
        </w:rPr>
        <w:t>组织各级党组织开展专题学习、各类警示教育活动、专题党课，营造学纪知纪明纪守纪的良好氛围。</w:t>
      </w:r>
      <w:r>
        <w:rPr>
          <w:rFonts w:hint="default" w:ascii="Times New Roman" w:hAnsi="Times New Roman" w:eastAsia="方正仿宋_GBK" w:cs="Times New Roman"/>
          <w:b/>
          <w:bCs/>
          <w:color w:val="auto"/>
          <w:spacing w:val="0"/>
          <w:sz w:val="32"/>
          <w:szCs w:val="32"/>
          <w:highlight w:val="none"/>
          <w:lang w:val="en-US" w:eastAsia="zh-CN"/>
        </w:rPr>
        <w:t>高成效开展分级分类培训。</w:t>
      </w:r>
      <w:r>
        <w:rPr>
          <w:rFonts w:hint="default" w:ascii="Times New Roman" w:hAnsi="Times New Roman" w:eastAsia="方正仿宋_GBK" w:cs="Times New Roman"/>
          <w:b w:val="0"/>
          <w:bCs w:val="0"/>
          <w:color w:val="auto"/>
          <w:spacing w:val="0"/>
          <w:sz w:val="32"/>
          <w:szCs w:val="32"/>
          <w:highlight w:val="none"/>
          <w:lang w:val="en-US" w:eastAsia="zh-CN"/>
        </w:rPr>
        <w:t>研究制定干部教育培训规划，举办</w:t>
      </w:r>
      <w:r>
        <w:rPr>
          <w:rFonts w:hint="default" w:ascii="Times New Roman" w:hAnsi="Times New Roman" w:eastAsia="方正仿宋_GBK" w:cs="Times New Roman"/>
          <w:color w:val="auto"/>
          <w:spacing w:val="0"/>
          <w:sz w:val="32"/>
          <w:szCs w:val="32"/>
          <w:lang w:eastAsia="zh-CN"/>
        </w:rPr>
        <w:t>县级主体班次</w:t>
      </w:r>
      <w:r>
        <w:rPr>
          <w:rFonts w:hint="default" w:ascii="Times New Roman" w:hAnsi="Times New Roman" w:eastAsia="方正仿宋_GBK" w:cs="Times New Roman"/>
          <w:color w:val="auto"/>
          <w:spacing w:val="0"/>
          <w:sz w:val="32"/>
          <w:szCs w:val="32"/>
          <w:lang w:val="en-US" w:eastAsia="zh-CN"/>
        </w:rPr>
        <w:t>24</w:t>
      </w:r>
      <w:r>
        <w:rPr>
          <w:rFonts w:hint="default" w:ascii="Times New Roman" w:hAnsi="Times New Roman" w:eastAsia="方正仿宋_GBK" w:cs="Times New Roman"/>
          <w:color w:val="auto"/>
          <w:spacing w:val="0"/>
          <w:sz w:val="32"/>
          <w:szCs w:val="32"/>
          <w:lang w:eastAsia="zh-CN"/>
        </w:rPr>
        <w:t>期，</w:t>
      </w:r>
      <w:r>
        <w:rPr>
          <w:rFonts w:hint="default" w:ascii="Times New Roman" w:hAnsi="Times New Roman" w:eastAsia="方正仿宋_GBK" w:cs="Times New Roman"/>
          <w:b w:val="0"/>
          <w:bCs w:val="0"/>
          <w:color w:val="auto"/>
          <w:spacing w:val="0"/>
          <w:sz w:val="32"/>
          <w:szCs w:val="32"/>
          <w:highlight w:val="none"/>
          <w:lang w:eastAsia="zh-CN"/>
        </w:rPr>
        <w:t>组</w:t>
      </w:r>
      <w:r>
        <w:rPr>
          <w:rFonts w:hint="default" w:ascii="Times New Roman" w:hAnsi="Times New Roman" w:eastAsia="方正仿宋_GBK" w:cs="Times New Roman"/>
          <w:color w:val="auto"/>
          <w:spacing w:val="0"/>
          <w:sz w:val="32"/>
          <w:szCs w:val="32"/>
          <w:highlight w:val="none"/>
          <w:lang w:eastAsia="zh-CN"/>
        </w:rPr>
        <w:t>织开展“双万”培训</w:t>
      </w:r>
      <w:r>
        <w:rPr>
          <w:rFonts w:hint="default" w:ascii="Times New Roman" w:hAnsi="Times New Roman" w:eastAsia="方正仿宋_GBK" w:cs="Times New Roman"/>
          <w:color w:val="auto"/>
          <w:spacing w:val="0"/>
          <w:sz w:val="32"/>
          <w:szCs w:val="32"/>
          <w:highlight w:val="none"/>
          <w:lang w:val="en-US" w:eastAsia="zh-CN"/>
        </w:rPr>
        <w:t>24</w:t>
      </w:r>
      <w:r>
        <w:rPr>
          <w:rFonts w:hint="default" w:ascii="Times New Roman" w:hAnsi="Times New Roman" w:eastAsia="方正仿宋_GBK" w:cs="Times New Roman"/>
          <w:color w:val="auto"/>
          <w:spacing w:val="0"/>
          <w:sz w:val="32"/>
          <w:szCs w:val="32"/>
          <w:highlight w:val="none"/>
          <w:lang w:eastAsia="zh-CN"/>
        </w:rPr>
        <w:t>期</w:t>
      </w:r>
      <w:bookmarkStart w:id="0" w:name="OLE_LINK4"/>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b/>
          <w:bCs/>
          <w:color w:val="auto"/>
          <w:spacing w:val="0"/>
          <w:kern w:val="0"/>
          <w:sz w:val="32"/>
          <w:szCs w:val="32"/>
          <w:highlight w:val="none"/>
          <w:lang w:val="en-US" w:eastAsia="zh-CN"/>
        </w:rPr>
        <w:t>高要求抓好党内政治生活。</w:t>
      </w:r>
      <w:r>
        <w:rPr>
          <w:rFonts w:hint="default" w:ascii="Times New Roman" w:hAnsi="Times New Roman" w:eastAsia="方正仿宋_GBK" w:cs="Times New Roman"/>
          <w:b w:val="0"/>
          <w:bCs w:val="0"/>
          <w:color w:val="auto"/>
          <w:spacing w:val="0"/>
          <w:kern w:val="0"/>
          <w:sz w:val="32"/>
          <w:szCs w:val="32"/>
          <w:highlight w:val="none"/>
          <w:lang w:val="en-US" w:eastAsia="zh-CN"/>
        </w:rPr>
        <w:t>5个乡镇（街道）和52个县直单位高质量完成主题教育专题民主生活会，767个基层党组织完成主题教育专题基层党组织组织生活会和民主评议党员工作。</w:t>
      </w:r>
    </w:p>
    <w:bookmarkEnd w:id="0"/>
    <w:p w14:paraId="7DB74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sz w:val="32"/>
          <w:szCs w:val="32"/>
          <w:lang w:eastAsia="zh-CN"/>
        </w:rPr>
      </w:pPr>
      <w:r>
        <w:rPr>
          <w:rFonts w:hint="default" w:ascii="Times New Roman" w:hAnsi="Times New Roman" w:eastAsia="方正楷体_GBK" w:cs="Times New Roman"/>
          <w:color w:val="auto"/>
          <w:spacing w:val="0"/>
          <w:kern w:val="0"/>
          <w:sz w:val="32"/>
          <w:szCs w:val="32"/>
          <w:highlight w:val="none"/>
          <w:lang w:val="en-US" w:eastAsia="zh-CN" w:bidi="ar"/>
        </w:rPr>
        <w:t>聚焦选优配强，有效激发干部“精气神”。</w:t>
      </w:r>
      <w:r>
        <w:rPr>
          <w:rFonts w:hint="default" w:ascii="Times New Roman" w:hAnsi="Times New Roman" w:eastAsia="方正仿宋_GBK" w:cs="Times New Roman"/>
          <w:b/>
          <w:bCs/>
          <w:color w:val="auto"/>
          <w:spacing w:val="0"/>
          <w:kern w:val="0"/>
          <w:sz w:val="32"/>
          <w:szCs w:val="32"/>
          <w:highlight w:val="none"/>
          <w:lang w:val="en-US" w:eastAsia="zh-CN" w:bidi="ar"/>
        </w:rPr>
        <w:t>在“选优”上下功夫</w:t>
      </w:r>
      <w:r>
        <w:rPr>
          <w:rFonts w:hint="default" w:ascii="Times New Roman" w:hAnsi="Times New Roman" w:eastAsia="方正楷体_GBK" w:cs="Times New Roman"/>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sz w:val="32"/>
          <w:szCs w:val="32"/>
          <w:lang w:val="en-US" w:eastAsia="zh-CN"/>
        </w:rPr>
        <w:t>年内调整干部6批次155人次，提拔科级干部45人，进一步使用21人，晋升职级2批次127人</w:t>
      </w:r>
      <w:r>
        <w:rPr>
          <w:rFonts w:hint="default" w:ascii="Times New Roman" w:hAnsi="Times New Roman" w:eastAsia="方正仿宋_GBK" w:cs="Times New Roman"/>
          <w:b w:val="0"/>
          <w:bCs w:val="0"/>
          <w:color w:val="auto"/>
          <w:spacing w:val="0"/>
          <w:sz w:val="32"/>
          <w:szCs w:val="32"/>
          <w:u w:val="none" w:color="auto"/>
          <w:lang w:val="en-US" w:eastAsia="zh-CN"/>
        </w:rPr>
        <w:t>，</w:t>
      </w:r>
      <w:r>
        <w:rPr>
          <w:rFonts w:hint="default" w:ascii="Times New Roman" w:hAnsi="Times New Roman" w:eastAsia="方正仿宋_GBK" w:cs="Times New Roman"/>
          <w:b w:val="0"/>
          <w:bCs w:val="0"/>
          <w:color w:val="auto"/>
          <w:spacing w:val="0"/>
          <w:sz w:val="32"/>
          <w:szCs w:val="32"/>
          <w:lang w:val="en-US" w:eastAsia="zh-CN"/>
        </w:rPr>
        <w:t>荣获</w:t>
      </w:r>
      <w:r>
        <w:rPr>
          <w:rFonts w:hint="default" w:ascii="Times New Roman" w:hAnsi="Times New Roman" w:eastAsia="方正仿宋_GBK" w:cs="Times New Roman"/>
          <w:color w:val="auto"/>
          <w:spacing w:val="0"/>
          <w:sz w:val="32"/>
          <w:szCs w:val="32"/>
          <w:highlight w:val="none"/>
          <w:u w:val="none" w:color="auto"/>
          <w:lang w:val="en-US" w:eastAsia="zh-CN"/>
        </w:rPr>
        <w:t>市委、市政府表彰奖励记二等功、三等功个人及集体9个。</w:t>
      </w:r>
      <w:r>
        <w:rPr>
          <w:rFonts w:hint="default" w:ascii="Times New Roman" w:hAnsi="Times New Roman" w:eastAsia="方正仿宋_GBK" w:cs="Times New Roman"/>
          <w:b/>
          <w:bCs/>
          <w:color w:val="auto"/>
          <w:spacing w:val="0"/>
          <w:sz w:val="32"/>
          <w:szCs w:val="32"/>
          <w:u w:val="none" w:color="auto"/>
          <w:lang w:val="en-US" w:eastAsia="zh-CN"/>
        </w:rPr>
        <w:t>在“精育”上下功夫</w:t>
      </w:r>
      <w:r>
        <w:rPr>
          <w:rFonts w:hint="default" w:ascii="Times New Roman" w:hAnsi="Times New Roman" w:eastAsia="方正仿宋_GBK" w:cs="Times New Roman"/>
          <w:b w:val="0"/>
          <w:bCs w:val="0"/>
          <w:color w:val="auto"/>
          <w:spacing w:val="0"/>
          <w:sz w:val="32"/>
          <w:szCs w:val="32"/>
          <w:u w:val="none" w:color="auto"/>
          <w:lang w:val="en-US" w:eastAsia="zh-CN"/>
        </w:rPr>
        <w:t>，</w:t>
      </w:r>
      <w:r>
        <w:rPr>
          <w:rFonts w:hint="default" w:ascii="Times New Roman" w:hAnsi="Times New Roman" w:eastAsia="方正仿宋_GBK" w:cs="Times New Roman"/>
          <w:b w:val="0"/>
          <w:bCs w:val="0"/>
          <w:color w:val="auto"/>
          <w:spacing w:val="0"/>
          <w:sz w:val="32"/>
          <w:szCs w:val="32"/>
          <w:lang w:val="en-US" w:eastAsia="zh-CN"/>
        </w:rPr>
        <w:t>分级分类抓好党的二十届三中全会精神培训，对全县干部开展抓经济促发展专题测试、新提拔干部任前履职能力测试7场661人，开展新时代“三基本”干部教育轮训6期</w:t>
      </w:r>
      <w:r>
        <w:rPr>
          <w:rFonts w:hint="default" w:ascii="Times New Roman" w:hAnsi="Times New Roman" w:eastAsia="方正仿宋_GBK" w:cs="Times New Roman"/>
          <w:color w:val="auto"/>
          <w:spacing w:val="0"/>
          <w:sz w:val="32"/>
          <w:szCs w:val="32"/>
          <w:u w:val="none" w:color="auto"/>
          <w:lang w:val="en-US" w:eastAsia="zh-CN"/>
        </w:rPr>
        <w:t>。</w:t>
      </w:r>
      <w:r>
        <w:rPr>
          <w:rFonts w:hint="default" w:ascii="Times New Roman" w:hAnsi="Times New Roman" w:eastAsia="方正仿宋_GBK" w:cs="Times New Roman"/>
          <w:b/>
          <w:bCs/>
          <w:color w:val="auto"/>
          <w:spacing w:val="0"/>
          <w:sz w:val="32"/>
          <w:szCs w:val="32"/>
          <w:u w:val="none" w:color="auto"/>
          <w:lang w:val="en-US" w:eastAsia="zh-CN"/>
        </w:rPr>
        <w:t>在“严管”上下功夫</w:t>
      </w:r>
      <w:r>
        <w:rPr>
          <w:rFonts w:hint="default" w:ascii="Times New Roman" w:hAnsi="Times New Roman" w:eastAsia="方正仿宋_GBK" w:cs="Times New Roman"/>
          <w:b w:val="0"/>
          <w:bCs w:val="0"/>
          <w:color w:val="auto"/>
          <w:spacing w:val="0"/>
          <w:sz w:val="32"/>
          <w:szCs w:val="32"/>
          <w:u w:val="none" w:color="auto"/>
          <w:lang w:val="en-US" w:eastAsia="zh-CN"/>
        </w:rPr>
        <w:t>，</w:t>
      </w:r>
      <w:r>
        <w:rPr>
          <w:rFonts w:hint="default" w:ascii="Times New Roman" w:hAnsi="Times New Roman" w:eastAsia="方正仿宋_GBK" w:cs="Times New Roman"/>
          <w:color w:val="auto"/>
          <w:spacing w:val="0"/>
          <w:sz w:val="32"/>
          <w:szCs w:val="32"/>
          <w:u w:val="none" w:color="auto"/>
          <w:lang w:val="en-US" w:eastAsia="zh-CN"/>
        </w:rPr>
        <w:t>推进重点领域政商“旋转门”“逃逸式辞职”问题整治，建立特岗人员出国（境）审批备案管理机制，抓好“带病提拔”倒查、新提拔部门正职任前经济责任告知和离任经济事项交接、领导干部社会组织企业兼职审批等制度落实</w:t>
      </w:r>
      <w:r>
        <w:rPr>
          <w:rFonts w:hint="default" w:ascii="Times New Roman" w:hAnsi="Times New Roman" w:eastAsia="方正仿宋_GBK" w:cs="Times New Roman"/>
          <w:b w:val="0"/>
          <w:bCs w:val="0"/>
          <w:color w:val="auto"/>
          <w:spacing w:val="0"/>
          <w:sz w:val="32"/>
          <w:szCs w:val="32"/>
          <w:u w:val="none" w:color="auto"/>
          <w:lang w:val="en-US" w:eastAsia="zh-CN"/>
        </w:rPr>
        <w:t>。</w:t>
      </w:r>
      <w:r>
        <w:rPr>
          <w:rFonts w:hint="default" w:ascii="Times New Roman" w:hAnsi="Times New Roman" w:eastAsia="方正仿宋_GBK" w:cs="Times New Roman"/>
          <w:b/>
          <w:bCs/>
          <w:color w:val="auto"/>
          <w:spacing w:val="0"/>
          <w:kern w:val="0"/>
          <w:sz w:val="32"/>
          <w:szCs w:val="32"/>
          <w:highlight w:val="none"/>
          <w:lang w:val="en-US" w:eastAsia="zh-CN" w:bidi="ar"/>
        </w:rPr>
        <w:t>在</w:t>
      </w:r>
      <w:r>
        <w:rPr>
          <w:rFonts w:hint="default" w:ascii="方正仿宋_GBK" w:hAnsi="方正仿宋_GBK" w:eastAsia="方正仿宋_GBK" w:cs="方正仿宋_GBK"/>
          <w:b/>
          <w:bCs/>
          <w:color w:val="auto"/>
          <w:spacing w:val="0"/>
          <w:kern w:val="0"/>
          <w:sz w:val="32"/>
          <w:szCs w:val="32"/>
          <w:highlight w:val="none"/>
          <w:lang w:val="en-US" w:eastAsia="zh-CN" w:bidi="ar"/>
        </w:rPr>
        <w:t>“善</w:t>
      </w:r>
      <w:r>
        <w:rPr>
          <w:rFonts w:hint="default" w:ascii="Times New Roman" w:hAnsi="Times New Roman" w:eastAsia="方正仿宋_GBK" w:cs="Times New Roman"/>
          <w:b/>
          <w:bCs/>
          <w:color w:val="auto"/>
          <w:spacing w:val="0"/>
          <w:kern w:val="0"/>
          <w:sz w:val="32"/>
          <w:szCs w:val="32"/>
          <w:highlight w:val="none"/>
          <w:lang w:val="en-US" w:eastAsia="zh-CN" w:bidi="ar"/>
        </w:rPr>
        <w:t>用</w:t>
      </w:r>
      <w:r>
        <w:rPr>
          <w:rFonts w:hint="eastAsia" w:ascii="方正仿宋_GBK" w:hAnsi="方正仿宋_GBK" w:eastAsia="方正仿宋_GBK" w:cs="方正仿宋_GBK"/>
          <w:b/>
          <w:bCs/>
          <w:color w:val="auto"/>
          <w:spacing w:val="0"/>
          <w:kern w:val="0"/>
          <w:sz w:val="32"/>
          <w:szCs w:val="32"/>
          <w:highlight w:val="none"/>
          <w:lang w:val="en-US" w:eastAsia="zh-CN" w:bidi="ar"/>
        </w:rPr>
        <w:t>”</w:t>
      </w:r>
      <w:r>
        <w:rPr>
          <w:rFonts w:hint="default" w:ascii="Times New Roman" w:hAnsi="Times New Roman" w:eastAsia="方正仿宋_GBK" w:cs="Times New Roman"/>
          <w:b/>
          <w:bCs/>
          <w:color w:val="auto"/>
          <w:spacing w:val="0"/>
          <w:kern w:val="0"/>
          <w:sz w:val="32"/>
          <w:szCs w:val="32"/>
          <w:highlight w:val="none"/>
          <w:lang w:val="en-US" w:eastAsia="zh-CN" w:bidi="ar"/>
        </w:rPr>
        <w:t>上下功夫，</w:t>
      </w:r>
      <w:r>
        <w:rPr>
          <w:rFonts w:hint="default" w:ascii="Times New Roman" w:hAnsi="Times New Roman" w:eastAsia="方正仿宋_GBK" w:cs="Times New Roman"/>
          <w:b w:val="0"/>
          <w:bCs w:val="0"/>
          <w:color w:val="auto"/>
          <w:spacing w:val="0"/>
          <w:sz w:val="32"/>
          <w:szCs w:val="32"/>
          <w:highlight w:val="none"/>
          <w:lang w:eastAsia="zh-CN"/>
        </w:rPr>
        <w:t>发挥</w:t>
      </w:r>
      <w:r>
        <w:rPr>
          <w:rFonts w:hint="default" w:ascii="方正仿宋_GBK" w:hAnsi="方正仿宋_GBK" w:eastAsia="方正仿宋_GBK" w:cs="方正仿宋_GBK"/>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eastAsia="zh-CN"/>
        </w:rPr>
        <w:t>泉乡金夕讲师团</w:t>
      </w:r>
      <w:r>
        <w:rPr>
          <w:rFonts w:hint="default" w:ascii="方正仿宋_GBK" w:hAnsi="方正仿宋_GBK" w:eastAsia="方正仿宋_GBK" w:cs="方正仿宋_GBK"/>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eastAsia="zh-CN"/>
        </w:rPr>
        <w:t>春风化育</w:t>
      </w:r>
      <w:r>
        <w:rPr>
          <w:rFonts w:hint="eastAsia" w:ascii="方正仿宋_GBK" w:hAnsi="方正仿宋_GBK" w:eastAsia="方正仿宋_GBK" w:cs="方正仿宋_GBK"/>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eastAsia="zh-CN"/>
        </w:rPr>
        <w:t>等老干部工作室作用，深入学校、村（社区）宣讲革命故事5场次，协助社区调解矛盾纠纷7起。</w:t>
      </w:r>
    </w:p>
    <w:p w14:paraId="1F4592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lang w:val="en-US" w:eastAsia="zh-CN"/>
        </w:rPr>
      </w:pPr>
      <w:bookmarkStart w:id="1" w:name="OLE_LINK5"/>
      <w:r>
        <w:rPr>
          <w:rFonts w:hint="default" w:ascii="Times New Roman" w:hAnsi="Times New Roman" w:eastAsia="方正楷体_GBK" w:cs="Times New Roman"/>
          <w:color w:val="auto"/>
          <w:spacing w:val="0"/>
          <w:kern w:val="0"/>
          <w:sz w:val="32"/>
          <w:szCs w:val="32"/>
          <w:highlight w:val="none"/>
          <w:lang w:val="en-US" w:eastAsia="zh-CN" w:bidi="ar"/>
        </w:rPr>
        <w:t>聚焦强基固本，不断夯实基层“组织力”</w:t>
      </w:r>
      <w:r>
        <w:rPr>
          <w:rFonts w:hint="default" w:ascii="Times New Roman" w:hAnsi="Times New Roman"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b/>
          <w:bCs/>
          <w:color w:val="auto"/>
          <w:spacing w:val="0"/>
          <w:sz w:val="32"/>
          <w:szCs w:val="32"/>
          <w:highlight w:val="none"/>
          <w:lang w:val="en-US" w:eastAsia="zh-CN"/>
        </w:rPr>
        <w:t>增强党组织“两个功能”。</w:t>
      </w:r>
      <w:r>
        <w:rPr>
          <w:rFonts w:hint="default" w:ascii="Times New Roman" w:hAnsi="Times New Roman" w:eastAsia="方正仿宋_GBK" w:cs="Times New Roman"/>
          <w:b w:val="0"/>
          <w:bCs/>
          <w:color w:val="auto"/>
          <w:spacing w:val="0"/>
          <w:sz w:val="32"/>
          <w:szCs w:val="32"/>
          <w:highlight w:val="none"/>
          <w:lang w:eastAsia="zh-CN"/>
        </w:rPr>
        <w:t>完成</w:t>
      </w:r>
      <w:r>
        <w:rPr>
          <w:rFonts w:hint="default" w:ascii="Times New Roman" w:hAnsi="Times New Roman" w:eastAsia="方正仿宋_GBK" w:cs="Times New Roman"/>
          <w:b w:val="0"/>
          <w:bCs/>
          <w:color w:val="auto"/>
          <w:spacing w:val="0"/>
          <w:sz w:val="32"/>
          <w:szCs w:val="32"/>
          <w:highlight w:val="none"/>
          <w:lang w:val="en-US" w:eastAsia="zh-CN"/>
        </w:rPr>
        <w:t>5个</w:t>
      </w:r>
      <w:r>
        <w:rPr>
          <w:rFonts w:hint="default" w:ascii="Times New Roman" w:hAnsi="Times New Roman" w:eastAsia="方正仿宋_GBK" w:cs="Times New Roman"/>
          <w:b w:val="0"/>
          <w:bCs/>
          <w:color w:val="auto"/>
          <w:spacing w:val="0"/>
          <w:sz w:val="32"/>
          <w:szCs w:val="32"/>
          <w:highlight w:val="none"/>
          <w:lang w:eastAsia="zh-CN"/>
        </w:rPr>
        <w:t>软弱涣散党组织</w:t>
      </w:r>
      <w:r>
        <w:rPr>
          <w:rFonts w:hint="default" w:ascii="Times New Roman" w:hAnsi="Times New Roman" w:eastAsia="方正仿宋_GBK" w:cs="Times New Roman"/>
          <w:b w:val="0"/>
          <w:bCs/>
          <w:color w:val="auto"/>
          <w:spacing w:val="0"/>
          <w:sz w:val="32"/>
          <w:szCs w:val="32"/>
          <w:highlight w:val="none"/>
          <w:lang w:val="en-US" w:eastAsia="zh-CN"/>
        </w:rPr>
        <w:t>整顿提升，114名发展党员指标。</w:t>
      </w:r>
      <w:r>
        <w:rPr>
          <w:rFonts w:hint="default" w:ascii="Times New Roman" w:hAnsi="Times New Roman" w:eastAsia="方正仿宋_GBK" w:cs="Times New Roman"/>
          <w:color w:val="auto"/>
          <w:spacing w:val="0"/>
          <w:sz w:val="32"/>
          <w:szCs w:val="32"/>
          <w:lang w:val="en-US" w:eastAsia="zh-CN"/>
        </w:rPr>
        <w:t>理顺医共体党委组织架构，加快推进国企改革，优化国有企业结构布局，新建行业党委2个，基层党建工作体系更加完善。</w:t>
      </w:r>
      <w:r>
        <w:rPr>
          <w:rFonts w:hint="default" w:ascii="Times New Roman" w:hAnsi="Times New Roman" w:eastAsia="方正仿宋_GBK" w:cs="Times New Roman"/>
          <w:b/>
          <w:bCs/>
          <w:color w:val="auto"/>
          <w:spacing w:val="0"/>
          <w:sz w:val="32"/>
          <w:szCs w:val="32"/>
          <w:highlight w:val="none"/>
          <w:lang w:val="en-US" w:eastAsia="zh-CN"/>
        </w:rPr>
        <w:t>提振乡村振兴活力。</w:t>
      </w:r>
      <w:r>
        <w:rPr>
          <w:rFonts w:hint="default" w:ascii="Times New Roman" w:hAnsi="Times New Roman" w:eastAsia="方正仿宋_GBK" w:cs="Times New Roman"/>
          <w:b w:val="0"/>
          <w:bCs w:val="0"/>
          <w:color w:val="auto"/>
          <w:spacing w:val="0"/>
          <w:sz w:val="32"/>
          <w:szCs w:val="32"/>
          <w:highlight w:val="none"/>
          <w:lang w:eastAsia="zh-CN"/>
        </w:rPr>
        <w:t>充分运用中期评估“回头看”结果，调整村（社区）干部</w:t>
      </w:r>
      <w:r>
        <w:rPr>
          <w:rFonts w:hint="default" w:ascii="Times New Roman" w:hAnsi="Times New Roman" w:eastAsia="方正仿宋_GBK" w:cs="Times New Roman"/>
          <w:b w:val="0"/>
          <w:bCs w:val="0"/>
          <w:color w:val="auto"/>
          <w:spacing w:val="0"/>
          <w:sz w:val="32"/>
          <w:szCs w:val="32"/>
          <w:highlight w:val="none"/>
          <w:lang w:val="en-US" w:eastAsia="zh-CN"/>
        </w:rPr>
        <w:t>56</w:t>
      </w:r>
      <w:r>
        <w:rPr>
          <w:rFonts w:hint="default" w:ascii="Times New Roman" w:hAnsi="Times New Roman" w:eastAsia="方正仿宋_GBK" w:cs="Times New Roman"/>
          <w:b w:val="0"/>
          <w:bCs w:val="0"/>
          <w:color w:val="auto"/>
          <w:spacing w:val="0"/>
          <w:sz w:val="32"/>
          <w:szCs w:val="32"/>
          <w:highlight w:val="none"/>
          <w:lang w:eastAsia="zh-CN"/>
        </w:rPr>
        <w:t>名，储备后备干部</w:t>
      </w:r>
      <w:r>
        <w:rPr>
          <w:rFonts w:hint="default" w:ascii="Times New Roman" w:hAnsi="Times New Roman" w:eastAsia="方正仿宋_GBK" w:cs="Times New Roman"/>
          <w:b w:val="0"/>
          <w:bCs w:val="0"/>
          <w:color w:val="auto"/>
          <w:spacing w:val="0"/>
          <w:sz w:val="32"/>
          <w:szCs w:val="32"/>
          <w:highlight w:val="none"/>
          <w:lang w:val="en-US" w:eastAsia="zh-CN"/>
        </w:rPr>
        <w:t>287</w:t>
      </w:r>
      <w:r>
        <w:rPr>
          <w:rFonts w:hint="default" w:ascii="Times New Roman" w:hAnsi="Times New Roman" w:eastAsia="方正仿宋_GBK" w:cs="Times New Roman"/>
          <w:b w:val="0"/>
          <w:bCs w:val="0"/>
          <w:color w:val="auto"/>
          <w:spacing w:val="0"/>
          <w:sz w:val="32"/>
          <w:szCs w:val="32"/>
          <w:highlight w:val="none"/>
          <w:lang w:eastAsia="zh-CN"/>
        </w:rPr>
        <w:t>名。完善联农带农机制，全县</w:t>
      </w:r>
      <w:r>
        <w:rPr>
          <w:rFonts w:hint="default" w:ascii="Times New Roman" w:hAnsi="Times New Roman" w:eastAsia="方正仿宋_GBK" w:cs="Times New Roman"/>
          <w:b w:val="0"/>
          <w:bCs w:val="0"/>
          <w:color w:val="auto"/>
          <w:spacing w:val="0"/>
          <w:sz w:val="32"/>
          <w:szCs w:val="32"/>
          <w:highlight w:val="none"/>
          <w:lang w:val="en-US" w:eastAsia="zh-CN"/>
        </w:rPr>
        <w:t>75个村（社区）村级集体经营性收入全部达15万元以上</w:t>
      </w:r>
      <w:r>
        <w:rPr>
          <w:rFonts w:hint="default" w:ascii="Times New Roman" w:hAnsi="Times New Roman" w:eastAsia="方正仿宋_GBK" w:cs="Times New Roman"/>
          <w:b w:val="0"/>
          <w:bCs w:val="0"/>
          <w:color w:val="auto"/>
          <w:spacing w:val="0"/>
          <w:sz w:val="32"/>
          <w:szCs w:val="32"/>
          <w:highlight w:val="none"/>
          <w:lang w:eastAsia="zh-CN"/>
        </w:rPr>
        <w:t>。聚合部门力量，</w:t>
      </w:r>
      <w:r>
        <w:rPr>
          <w:rFonts w:hint="default" w:ascii="Times New Roman" w:hAnsi="Times New Roman" w:eastAsia="方正仿宋_GBK" w:cs="Times New Roman"/>
          <w:b w:val="0"/>
          <w:bCs w:val="0"/>
          <w:color w:val="auto"/>
          <w:spacing w:val="0"/>
          <w:sz w:val="32"/>
          <w:szCs w:val="32"/>
          <w:highlight w:val="none"/>
          <w:lang w:val="en-US" w:eastAsia="zh-CN"/>
        </w:rPr>
        <w:t>大力发展外向型农业推动柑桔产业提质增效，建成华溪柑桔产业发展后服务中心。</w:t>
      </w:r>
      <w:r>
        <w:rPr>
          <w:rFonts w:hint="default" w:ascii="Times New Roman" w:hAnsi="Times New Roman" w:eastAsia="方正仿宋_GBK" w:cs="Times New Roman"/>
          <w:b/>
          <w:bCs/>
          <w:color w:val="auto"/>
          <w:spacing w:val="0"/>
          <w:sz w:val="32"/>
          <w:szCs w:val="32"/>
          <w:highlight w:val="none"/>
          <w:lang w:val="en-US" w:eastAsia="zh-CN"/>
        </w:rPr>
        <w:t>释放基层治理效能。</w:t>
      </w:r>
      <w:r>
        <w:rPr>
          <w:rFonts w:hint="default" w:ascii="Times New Roman" w:hAnsi="Times New Roman" w:eastAsia="方正仿宋_GBK" w:cs="Times New Roman"/>
          <w:b w:val="0"/>
          <w:bCs w:val="0"/>
          <w:color w:val="auto"/>
          <w:spacing w:val="0"/>
          <w:sz w:val="32"/>
          <w:szCs w:val="32"/>
          <w:highlight w:val="none"/>
          <w:lang w:val="en-US" w:eastAsia="zh-CN"/>
        </w:rPr>
        <w:t>完成20个宗教场所管理组织和监督组织设置</w:t>
      </w:r>
      <w:r>
        <w:rPr>
          <w:rFonts w:hint="default" w:ascii="Times New Roman" w:hAnsi="Times New Roman" w:eastAsia="方正仿宋_GBK" w:cs="Times New Roman"/>
          <w:color w:val="auto"/>
          <w:spacing w:val="0"/>
          <w:sz w:val="32"/>
          <w:szCs w:val="32"/>
          <w:highlight w:val="none"/>
          <w:lang w:val="en-US" w:eastAsia="zh-CN"/>
        </w:rPr>
        <w:t>，46名党员干部在其中任职。</w:t>
      </w:r>
      <w:r>
        <w:rPr>
          <w:rFonts w:hint="default" w:ascii="Times New Roman" w:hAnsi="Times New Roman" w:eastAsia="方正仿宋_GBK" w:cs="Times New Roman"/>
          <w:b w:val="0"/>
          <w:bCs w:val="0"/>
          <w:color w:val="auto"/>
          <w:spacing w:val="0"/>
          <w:sz w:val="32"/>
          <w:szCs w:val="32"/>
          <w:highlight w:val="none"/>
          <w:lang w:val="en-US" w:eastAsia="zh-CN"/>
        </w:rPr>
        <w:t>挂牌成立两个城市社区，在11个村（社区）推行“微网格”试点，打造3个小区治理示范点，探索AI大数据为基层减负。</w:t>
      </w:r>
      <w:r>
        <w:rPr>
          <w:rFonts w:hint="default" w:ascii="Times New Roman" w:hAnsi="Times New Roman" w:eastAsia="方正仿宋_GBK" w:cs="Times New Roman"/>
          <w:b/>
          <w:bCs/>
          <w:color w:val="auto"/>
          <w:spacing w:val="0"/>
          <w:sz w:val="32"/>
          <w:szCs w:val="32"/>
          <w:highlight w:val="none"/>
          <w:lang w:val="en-US" w:eastAsia="zh-CN"/>
        </w:rPr>
        <w:t>提升领域党建质效。</w:t>
      </w:r>
      <w:r>
        <w:rPr>
          <w:rFonts w:hint="default" w:ascii="Times New Roman" w:hAnsi="Times New Roman" w:eastAsia="方正仿宋_GBK" w:cs="Times New Roman"/>
          <w:b w:val="0"/>
          <w:bCs w:val="0"/>
          <w:color w:val="auto"/>
          <w:spacing w:val="0"/>
          <w:sz w:val="32"/>
          <w:szCs w:val="32"/>
          <w:highlight w:val="none"/>
          <w:lang w:val="en-US" w:eastAsia="zh-CN"/>
        </w:rPr>
        <w:t>打造基层党建示范点19个，</w:t>
      </w:r>
      <w:bookmarkStart w:id="2" w:name="OLE_LINK3"/>
      <w:r>
        <w:rPr>
          <w:rFonts w:hint="default" w:ascii="Times New Roman" w:hAnsi="Times New Roman" w:eastAsia="方正仿宋_GBK" w:cs="Times New Roman"/>
          <w:b w:val="0"/>
          <w:bCs w:val="0"/>
          <w:color w:val="auto"/>
          <w:spacing w:val="0"/>
          <w:sz w:val="32"/>
          <w:szCs w:val="32"/>
          <w:highlight w:val="none"/>
          <w:lang w:val="en-US" w:eastAsia="zh-CN"/>
        </w:rPr>
        <w:t>打造新兴领域党群服务站，进一步提升新兴领域群体党建工作质效。依托3个零工市场和27个零工驿站，创新“红色劳务”模式，推广“家门口务工车间”，促进群众就近就业。</w:t>
      </w:r>
    </w:p>
    <w:bookmarkEnd w:id="2"/>
    <w:p w14:paraId="266BB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color w:val="auto"/>
          <w:spacing w:val="0"/>
          <w:kern w:val="0"/>
          <w:sz w:val="32"/>
          <w:szCs w:val="32"/>
          <w:highlight w:val="none"/>
          <w:lang w:val="en-US" w:eastAsia="zh-CN" w:bidi="ar"/>
        </w:rPr>
        <w:t>聚焦赋能发展，显著增强人才“磁吸力”</w:t>
      </w:r>
      <w:r>
        <w:rPr>
          <w:rFonts w:hint="default" w:ascii="Times New Roman" w:hAnsi="Times New Roman" w:eastAsia="方正仿宋_GBK" w:cs="Times New Roman"/>
          <w:b w:val="0"/>
          <w:bCs w:val="0"/>
          <w:color w:val="auto"/>
          <w:spacing w:val="0"/>
          <w:sz w:val="32"/>
          <w:szCs w:val="32"/>
          <w:highlight w:val="none"/>
          <w:lang w:val="en-US" w:eastAsia="zh-CN"/>
        </w:rPr>
        <w:t>。坚持党管人才，县委常委会议专题研究人才工作2次。制发《华宁县建设“县域人才小高地”行动方案》，细化16项具体任务，助推柑桔产业、陶瓷产业、磷化工产业人才高地建设。持续深化“大院大所大校大企”合作，从高校、央企、金融部门引进高层次人才3名。实施“鸿雁归引”行动，择优归引优秀人才24名。实施本土电商人才计划，开展陶艺、电商、农业领域技能培训，带动就业。举行“华宁人才”“华宁柑桔人”“华宁陶匠”形象LOGO发布仪式，举办华宁首届“青创集市”“人才夜市”活动。推动人才福利落地，年内兑付专家基层科研工作站、人才公寓建设等经费213.7万元。实施“筑巢引凤”工程，筹建447套保障性人才公寓。</w:t>
      </w:r>
    </w:p>
    <w:p w14:paraId="7AA4B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方正楷体_GBK" w:cs="Times New Roman"/>
          <w:color w:val="auto"/>
          <w:spacing w:val="0"/>
          <w:kern w:val="0"/>
          <w:sz w:val="32"/>
          <w:szCs w:val="32"/>
          <w:highlight w:val="none"/>
          <w:lang w:val="en-US" w:eastAsia="zh-CN" w:bidi="ar"/>
        </w:rPr>
        <w:t>聚焦自身建设</w:t>
      </w:r>
      <w:r>
        <w:rPr>
          <w:rFonts w:hint="default" w:ascii="Times New Roman" w:hAnsi="Times New Roman" w:eastAsia="方正楷体_GBK" w:cs="Times New Roman"/>
          <w:color w:val="auto"/>
          <w:spacing w:val="0"/>
          <w:kern w:val="0"/>
          <w:sz w:val="32"/>
          <w:szCs w:val="32"/>
          <w:highlight w:val="none"/>
          <w:lang w:eastAsia="zh-CN" w:bidi="ar"/>
        </w:rPr>
        <w:t>，</w:t>
      </w:r>
      <w:r>
        <w:rPr>
          <w:rFonts w:hint="default" w:ascii="Times New Roman" w:hAnsi="Times New Roman" w:eastAsia="方正楷体_GBK" w:cs="Times New Roman"/>
          <w:color w:val="auto"/>
          <w:spacing w:val="0"/>
          <w:kern w:val="0"/>
          <w:sz w:val="32"/>
          <w:szCs w:val="32"/>
          <w:highlight w:val="none"/>
          <w:lang w:val="en-US" w:eastAsia="zh-CN" w:bidi="ar"/>
        </w:rPr>
        <w:t>全面提升</w:t>
      </w:r>
      <w:r>
        <w:rPr>
          <w:rFonts w:hint="default" w:ascii="Times New Roman" w:hAnsi="Times New Roman" w:eastAsia="方正楷体_GBK" w:cs="Times New Roman"/>
          <w:color w:val="auto"/>
          <w:spacing w:val="0"/>
          <w:kern w:val="0"/>
          <w:sz w:val="32"/>
          <w:szCs w:val="32"/>
          <w:highlight w:val="none"/>
          <w:lang w:eastAsia="zh-CN" w:bidi="ar"/>
        </w:rPr>
        <w:t>队伍</w:t>
      </w:r>
      <w:r>
        <w:rPr>
          <w:rFonts w:hint="default" w:ascii="Times New Roman" w:hAnsi="Times New Roman" w:eastAsia="方正楷体_GBK" w:cs="Times New Roman"/>
          <w:color w:val="auto"/>
          <w:spacing w:val="0"/>
          <w:kern w:val="0"/>
          <w:sz w:val="32"/>
          <w:szCs w:val="32"/>
          <w:highlight w:val="none"/>
          <w:lang w:val="en-US" w:eastAsia="zh-CN" w:bidi="ar"/>
        </w:rPr>
        <w:t>“战斗力”</w:t>
      </w:r>
      <w:r>
        <w:rPr>
          <w:rFonts w:hint="default" w:ascii="Times New Roman" w:hAnsi="Times New Roman" w:eastAsia="方正楷体_GBK" w:cs="Times New Roman"/>
          <w:color w:val="auto"/>
          <w:spacing w:val="0"/>
          <w:sz w:val="32"/>
          <w:szCs w:val="32"/>
          <w:highlight w:val="none"/>
          <w:lang w:val="en-US" w:eastAsia="zh-CN"/>
        </w:rPr>
        <w:t>。</w:t>
      </w:r>
      <w:bookmarkEnd w:id="1"/>
      <w:r>
        <w:rPr>
          <w:rFonts w:hint="default" w:ascii="Times New Roman" w:hAnsi="Times New Roman" w:eastAsia="方正仿宋_GBK" w:cs="Times New Roman"/>
          <w:color w:val="auto"/>
          <w:spacing w:val="0"/>
          <w:sz w:val="32"/>
          <w:szCs w:val="32"/>
          <w:highlight w:val="none"/>
          <w:lang w:val="en-US" w:eastAsia="zh-CN"/>
        </w:rPr>
        <w:t>聚焦部机关“六变”建设目标，年内开展集中学习44次、工作例会43次、组工讲坛12期，开展党纪学习教育、党的二十届三中全会、乡镇（街道）抓经济促发展专题学习和知识测试，全面提高组工干部综合能力素质。</w:t>
      </w:r>
      <w:bookmarkStart w:id="3" w:name="OLE_LINK9"/>
      <w:r>
        <w:rPr>
          <w:rFonts w:hint="default" w:ascii="Times New Roman" w:hAnsi="Times New Roman" w:eastAsia="方正仿宋_GBK" w:cs="Times New Roman"/>
          <w:color w:val="auto"/>
          <w:spacing w:val="0"/>
          <w:sz w:val="32"/>
          <w:szCs w:val="32"/>
          <w:highlight w:val="none"/>
          <w:lang w:val="en-US" w:eastAsia="zh-CN"/>
        </w:rPr>
        <w:t>制定抓工作落实闭环管理、“三审三校”工作机制，着力提高组织工作制度化规范化水平。加强组织工作经验做法总结提炼，年内新闻宣传稿件被省级以上媒体采用56篇。</w:t>
      </w:r>
      <w:bookmarkEnd w:id="3"/>
    </w:p>
    <w:p w14:paraId="4D225440">
      <w:pPr>
        <w:spacing w:line="600" w:lineRule="exact"/>
        <w:jc w:val="left"/>
        <w:rPr>
          <w:rFonts w:hint="eastAsia" w:ascii="仿宋_GB2312" w:hAnsi="宋体" w:eastAsia="仿宋_GB2312" w:cs="Arial"/>
          <w:color w:val="auto"/>
          <w:kern w:val="0"/>
          <w:sz w:val="30"/>
          <w:szCs w:val="30"/>
          <w:highlight w:val="none"/>
        </w:rPr>
      </w:pPr>
    </w:p>
    <w:p w14:paraId="3C41AF0D">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年度部门决算表</w:t>
      </w:r>
    </w:p>
    <w:p w14:paraId="11FCD3F4">
      <w:pPr>
        <w:spacing w:line="600" w:lineRule="exact"/>
        <w:ind w:firstLine="640" w:firstLineChars="200"/>
        <w:jc w:val="center"/>
        <w:outlineLvl w:val="1"/>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（详见附件）</w:t>
      </w:r>
    </w:p>
    <w:p w14:paraId="354814D1">
      <w:pPr>
        <w:pStyle w:val="12"/>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本部门2024年度</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政府性基金预算财政拨款收入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故《政府性基金预算财政拨款收入支出决算表》</w:t>
      </w:r>
      <w:r>
        <w:rPr>
          <w:rFonts w:hint="default" w:ascii="Times New Roman" w:hAnsi="Times New Roman" w:eastAsia="方正仿宋_GBK" w:cs="Times New Roman"/>
          <w:color w:val="auto"/>
          <w:sz w:val="32"/>
          <w:szCs w:val="32"/>
          <w:lang w:eastAsia="zh-CN"/>
        </w:rPr>
        <w:t>为空表</w:t>
      </w:r>
      <w:r>
        <w:rPr>
          <w:rFonts w:hint="default" w:ascii="Times New Roman" w:hAnsi="Times New Roman" w:eastAsia="方正仿宋_GBK" w:cs="Times New Roman"/>
          <w:color w:val="auto"/>
          <w:sz w:val="32"/>
          <w:szCs w:val="32"/>
        </w:rPr>
        <w:t>。</w:t>
      </w:r>
    </w:p>
    <w:p w14:paraId="0D739169">
      <w:pPr>
        <w:pStyle w:val="12"/>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lang w:val="en-US" w:eastAsia="zh-CN"/>
        </w:rPr>
        <w:t>本部门2024年度无</w:t>
      </w:r>
      <w:r>
        <w:rPr>
          <w:rFonts w:hint="default" w:ascii="Times New Roman" w:hAnsi="Times New Roman" w:eastAsia="方正仿宋_GBK" w:cs="Times New Roman"/>
          <w:color w:val="auto"/>
          <w:sz w:val="32"/>
          <w:szCs w:val="32"/>
        </w:rPr>
        <w:t>国有资本经营预算财政拨款收入，故《国有资本经营预算财政拨款收入支出决算表》</w:t>
      </w:r>
      <w:r>
        <w:rPr>
          <w:rFonts w:hint="default" w:ascii="Times New Roman" w:hAnsi="Times New Roman" w:eastAsia="方正仿宋_GBK" w:cs="Times New Roman"/>
          <w:color w:val="auto"/>
          <w:sz w:val="32"/>
          <w:szCs w:val="32"/>
          <w:lang w:eastAsia="zh-CN"/>
        </w:rPr>
        <w:t>为空表</w:t>
      </w:r>
      <w:r>
        <w:rPr>
          <w:rFonts w:hint="default" w:ascii="Times New Roman" w:hAnsi="Times New Roman" w:eastAsia="方正仿宋_GBK" w:cs="Times New Roman"/>
          <w:color w:val="auto"/>
          <w:sz w:val="32"/>
          <w:szCs w:val="32"/>
        </w:rPr>
        <w:t>。</w:t>
      </w:r>
    </w:p>
    <w:p w14:paraId="444BCA70">
      <w:pPr>
        <w:jc w:val="center"/>
        <w:outlineLvl w:val="0"/>
        <w:rPr>
          <w:rFonts w:hint="eastAsia" w:ascii="黑体" w:hAnsi="黑体" w:eastAsia="黑体"/>
          <w:color w:val="auto"/>
          <w:sz w:val="32"/>
          <w:szCs w:val="32"/>
          <w:highlight w:val="none"/>
        </w:rPr>
      </w:pPr>
    </w:p>
    <w:p w14:paraId="2B61724C">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w:t>
      </w:r>
      <w:r>
        <w:rPr>
          <w:rFonts w:hint="eastAsia" w:ascii="黑体" w:hAnsi="黑体" w:eastAsia="黑体"/>
          <w:color w:val="auto"/>
          <w:sz w:val="32"/>
          <w:szCs w:val="32"/>
          <w:highlight w:val="none"/>
          <w:lang w:eastAsia="zh-CN"/>
        </w:rPr>
        <w:t>分</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年度部门决算情况说明</w:t>
      </w:r>
    </w:p>
    <w:p w14:paraId="3F1FB2C3">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一、收入决算情况说明</w:t>
      </w:r>
    </w:p>
    <w:p w14:paraId="203DA0AE">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lang w:val="zh-CN"/>
        </w:rPr>
        <w:t>中国共产党华宁县委员会组织部</w:t>
      </w:r>
      <w:r>
        <w:rPr>
          <w:rFonts w:hint="default" w:ascii="Times New Roman" w:hAnsi="Times New Roman" w:eastAsia="仿宋_GB2312" w:cs="Times New Roman"/>
          <w:color w:val="auto"/>
          <w:sz w:val="30"/>
          <w:szCs w:val="30"/>
          <w:highlight w:val="none"/>
          <w:lang w:val="en-US" w:eastAsia="zh-CN"/>
        </w:rPr>
        <w:t>2024</w:t>
      </w:r>
      <w:r>
        <w:rPr>
          <w:rFonts w:hint="default" w:ascii="Times New Roman" w:hAnsi="Times New Roman" w:eastAsia="仿宋_GB2312" w:cs="Times New Roman"/>
          <w:color w:val="auto"/>
          <w:sz w:val="30"/>
          <w:szCs w:val="30"/>
          <w:highlight w:val="none"/>
        </w:rPr>
        <w:t>年度收入合计</w:t>
      </w:r>
      <w:r>
        <w:rPr>
          <w:rFonts w:hint="default" w:ascii="Times New Roman" w:hAnsi="Times New Roman" w:eastAsia="仿宋_GB2312" w:cs="Times New Roman"/>
          <w:color w:val="auto"/>
          <w:sz w:val="30"/>
          <w:lang w:val="zh-CN"/>
        </w:rPr>
        <w:t>8</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085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256.25</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。其中：财政拨款收入</w:t>
      </w:r>
      <w:r>
        <w:rPr>
          <w:rFonts w:hint="default" w:ascii="Times New Roman" w:hAnsi="Times New Roman" w:eastAsia="仿宋_GB2312" w:cs="Times New Roman"/>
          <w:color w:val="auto"/>
          <w:sz w:val="30"/>
          <w:lang w:val="zh-CN"/>
        </w:rPr>
        <w:t>8</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020</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836.25</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，占总收入的</w:t>
      </w:r>
      <w:r>
        <w:rPr>
          <w:rFonts w:hint="default" w:ascii="Times New Roman" w:hAnsi="Times New Roman" w:eastAsia="仿宋_GB2312" w:cs="Times New Roman"/>
          <w:color w:val="auto"/>
          <w:sz w:val="30"/>
          <w:lang w:val="zh-CN"/>
        </w:rPr>
        <w:t>99.20</w:t>
      </w:r>
      <w:r>
        <w:rPr>
          <w:rFonts w:hint="default" w:ascii="Times New Roman" w:hAnsi="Times New Roman" w:eastAsia="仿宋_GB2312" w:cs="Times New Roman"/>
          <w:color w:val="auto"/>
          <w:sz w:val="30"/>
          <w:szCs w:val="30"/>
          <w:highlight w:val="none"/>
        </w:rPr>
        <w:t>%；上级补助收入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%；事业收入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元（含教育收费</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%；经营收入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%；附属单位</w:t>
      </w:r>
      <w:r>
        <w:rPr>
          <w:rFonts w:hint="default" w:ascii="Times New Roman" w:hAnsi="Times New Roman" w:eastAsia="仿宋_GB2312" w:cs="Times New Roman"/>
          <w:color w:val="auto"/>
          <w:sz w:val="30"/>
          <w:szCs w:val="30"/>
          <w:highlight w:val="none"/>
          <w:lang w:eastAsia="zh-CN"/>
        </w:rPr>
        <w:t>上缴</w:t>
      </w:r>
      <w:r>
        <w:rPr>
          <w:rFonts w:hint="default" w:ascii="Times New Roman" w:hAnsi="Times New Roman" w:eastAsia="仿宋_GB2312" w:cs="Times New Roman"/>
          <w:color w:val="auto"/>
          <w:sz w:val="30"/>
          <w:szCs w:val="30"/>
          <w:highlight w:val="none"/>
        </w:rPr>
        <w:t>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%；其他收入</w:t>
      </w:r>
      <w:r>
        <w:rPr>
          <w:rFonts w:hint="default" w:ascii="Times New Roman" w:hAnsi="Times New Roman" w:eastAsia="仿宋_GB2312" w:cs="Times New Roman"/>
          <w:color w:val="auto"/>
          <w:sz w:val="30"/>
          <w:lang w:val="zh-CN"/>
        </w:rPr>
        <w:t>64</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420.00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，占总收入的</w:t>
      </w:r>
      <w:r>
        <w:rPr>
          <w:rFonts w:hint="default" w:ascii="Times New Roman" w:hAnsi="Times New Roman" w:eastAsia="仿宋_GB2312" w:cs="Times New Roman"/>
          <w:color w:val="auto"/>
          <w:sz w:val="30"/>
          <w:lang w:val="zh-CN"/>
        </w:rPr>
        <w:t>0.80</w:t>
      </w:r>
      <w:r>
        <w:rPr>
          <w:rFonts w:hint="default" w:ascii="Times New Roman" w:hAnsi="Times New Roman" w:eastAsia="仿宋_GB2312" w:cs="Times New Roman"/>
          <w:color w:val="auto"/>
          <w:sz w:val="30"/>
          <w:szCs w:val="30"/>
          <w:highlight w:val="none"/>
        </w:rPr>
        <w:t>%。</w:t>
      </w:r>
    </w:p>
    <w:p w14:paraId="5C0E12E6">
      <w:pPr>
        <w:widowControl/>
        <w:snapToGrid w:val="0"/>
        <w:spacing w:before="100" w:after="100" w:line="600" w:lineRule="exact"/>
        <w:ind w:firstLine="538"/>
        <w:jc w:val="left"/>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sz w:val="30"/>
          <w:szCs w:val="30"/>
          <w:highlight w:val="none"/>
        </w:rPr>
        <w:t>与上年</w:t>
      </w:r>
      <w:r>
        <w:rPr>
          <w:rFonts w:hint="default" w:ascii="Times New Roman" w:hAnsi="Times New Roman" w:eastAsia="仿宋_GB2312" w:cs="Times New Roman"/>
          <w:color w:val="auto"/>
          <w:sz w:val="30"/>
          <w:szCs w:val="30"/>
          <w:highlight w:val="none"/>
          <w:lang w:eastAsia="zh-CN"/>
        </w:rPr>
        <w:t>相比，</w:t>
      </w:r>
      <w:r>
        <w:rPr>
          <w:rFonts w:hint="default" w:ascii="Times New Roman" w:hAnsi="Times New Roman" w:eastAsia="仿宋_GB2312" w:cs="Times New Roman"/>
          <w:color w:val="auto"/>
          <w:sz w:val="30"/>
          <w:szCs w:val="30"/>
          <w:highlight w:val="none"/>
        </w:rPr>
        <w:t>收入合计</w:t>
      </w:r>
      <w:r>
        <w:rPr>
          <w:rFonts w:hint="default" w:ascii="Times New Roman" w:hAnsi="Times New Roman" w:eastAsia="仿宋_GB2312" w:cs="Times New Roman"/>
          <w:color w:val="auto"/>
          <w:sz w:val="30"/>
          <w:szCs w:val="30"/>
          <w:highlight w:val="none"/>
          <w:lang w:val="en-US" w:eastAsia="zh-CN"/>
        </w:rPr>
        <w:t>减少</w:t>
      </w:r>
      <w:r>
        <w:rPr>
          <w:rFonts w:hint="default" w:ascii="Times New Roman" w:hAnsi="Times New Roman" w:eastAsia="仿宋_GB2312" w:cs="Times New Roman"/>
          <w:color w:val="auto"/>
          <w:sz w:val="30"/>
          <w:lang w:val="zh-CN"/>
        </w:rPr>
        <w:t>236</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568.00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lang w:val="en-US" w:eastAsia="zh-CN"/>
        </w:rPr>
        <w:t>下降</w:t>
      </w:r>
      <w:r>
        <w:rPr>
          <w:rFonts w:hint="default" w:ascii="Times New Roman" w:hAnsi="Times New Roman" w:eastAsia="仿宋_GB2312" w:cs="Times New Roman"/>
          <w:color w:val="auto"/>
          <w:sz w:val="30"/>
          <w:lang w:val="zh-CN"/>
        </w:rPr>
        <w:t>2.84</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。其中：</w:t>
      </w:r>
      <w:r>
        <w:rPr>
          <w:rFonts w:hint="default" w:ascii="Times New Roman" w:hAnsi="Times New Roman" w:eastAsia="仿宋_GB2312" w:cs="Times New Roman"/>
          <w:color w:val="auto"/>
          <w:sz w:val="30"/>
          <w:szCs w:val="30"/>
          <w:highlight w:val="none"/>
        </w:rPr>
        <w:t>财政拨款收入</w:t>
      </w:r>
      <w:r>
        <w:rPr>
          <w:rFonts w:hint="default" w:ascii="Times New Roman" w:hAnsi="Times New Roman" w:eastAsia="仿宋_GB2312" w:cs="Times New Roman"/>
          <w:color w:val="auto"/>
          <w:sz w:val="30"/>
          <w:szCs w:val="30"/>
          <w:highlight w:val="none"/>
          <w:lang w:val="en-US" w:eastAsia="zh-CN"/>
        </w:rPr>
        <w:t>减少</w:t>
      </w:r>
      <w:r>
        <w:rPr>
          <w:rFonts w:hint="default" w:ascii="Times New Roman" w:hAnsi="Times New Roman" w:eastAsia="仿宋_GB2312" w:cs="Times New Roman"/>
          <w:color w:val="auto"/>
          <w:sz w:val="30"/>
          <w:lang w:val="zh-CN"/>
        </w:rPr>
        <w:t>249</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528.00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lang w:val="en-US" w:eastAsia="zh-CN"/>
        </w:rPr>
        <w:t>下降</w:t>
      </w:r>
      <w:r>
        <w:rPr>
          <w:rFonts w:hint="default" w:ascii="Times New Roman" w:hAnsi="Times New Roman" w:eastAsia="仿宋_GB2312" w:cs="Times New Roman"/>
          <w:color w:val="auto"/>
          <w:sz w:val="30"/>
          <w:lang w:val="zh-CN"/>
        </w:rPr>
        <w:t>3.02</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上级补助收入</w:t>
      </w:r>
      <w:r>
        <w:rPr>
          <w:rFonts w:hint="default" w:ascii="Times New Roman" w:hAnsi="Times New Roman" w:eastAsia="仿宋_GB2312" w:cs="Times New Roman"/>
          <w:color w:val="auto"/>
          <w:sz w:val="30"/>
          <w:szCs w:val="30"/>
          <w:highlight w:val="none"/>
          <w:lang w:eastAsia="zh-CN"/>
        </w:rPr>
        <w:t>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；事业收入增加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；经营收入增加</w:t>
      </w:r>
      <w:r>
        <w:rPr>
          <w:rFonts w:hint="default" w:ascii="Times New Roman" w:hAnsi="Times New Roman" w:eastAsia="仿宋_GB2312" w:cs="Times New Roman"/>
          <w:color w:val="auto"/>
          <w:sz w:val="30"/>
          <w:szCs w:val="30"/>
          <w:highlight w:val="none"/>
          <w:lang w:val="en-US" w:eastAsia="zh-CN"/>
        </w:rPr>
        <w:t>少</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；附属单位上缴收入增加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；其他收入</w:t>
      </w:r>
      <w:r>
        <w:rPr>
          <w:rFonts w:hint="default" w:ascii="Times New Roman" w:hAnsi="Times New Roman" w:eastAsia="仿宋_GB2312" w:cs="Times New Roman"/>
          <w:color w:val="auto"/>
          <w:sz w:val="30"/>
          <w:szCs w:val="30"/>
          <w:highlight w:val="none"/>
          <w:lang w:val="en-US" w:eastAsia="zh-CN"/>
        </w:rPr>
        <w:t>减少</w:t>
      </w:r>
      <w:r>
        <w:rPr>
          <w:rFonts w:hint="default" w:ascii="Times New Roman" w:hAnsi="Times New Roman" w:eastAsia="仿宋_GB2312" w:cs="Times New Roman"/>
          <w:color w:val="auto"/>
          <w:sz w:val="30"/>
          <w:lang w:val="zh-CN"/>
        </w:rPr>
        <w:t>12</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960.00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lang w:val="en-US" w:eastAsia="zh-CN"/>
        </w:rPr>
        <w:t>下降</w:t>
      </w:r>
      <w:r>
        <w:rPr>
          <w:rFonts w:hint="default" w:ascii="Times New Roman" w:hAnsi="Times New Roman" w:eastAsia="仿宋_GB2312" w:cs="Times New Roman"/>
          <w:color w:val="auto"/>
          <w:sz w:val="30"/>
          <w:lang w:val="zh-CN"/>
        </w:rPr>
        <w:t>25.18</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主要原因</w:t>
      </w:r>
      <w:r>
        <w:rPr>
          <w:rFonts w:hint="default" w:ascii="Times New Roman" w:hAnsi="Times New Roman" w:eastAsia="仿宋_GB2312" w:cs="Times New Roman"/>
          <w:color w:val="auto"/>
          <w:sz w:val="30"/>
          <w:szCs w:val="30"/>
          <w:highlight w:val="none"/>
          <w:lang w:eastAsia="zh-CN"/>
        </w:rPr>
        <w:t>是：</w:t>
      </w:r>
      <w:r>
        <w:rPr>
          <w:rFonts w:hint="default" w:ascii="Times New Roman" w:hAnsi="Times New Roman" w:eastAsia="方正仿宋_GBK" w:cs="Times New Roman"/>
          <w:color w:val="auto"/>
          <w:kern w:val="0"/>
          <w:sz w:val="32"/>
          <w:szCs w:val="32"/>
          <w:lang w:val="en-US" w:eastAsia="zh-CN"/>
        </w:rPr>
        <w:t>2024年财政困难，财政拨款收入减少；老年大学学员减少，其他收入减少</w:t>
      </w:r>
      <w:r>
        <w:rPr>
          <w:rFonts w:hint="default" w:ascii="Times New Roman" w:hAnsi="Times New Roman" w:eastAsia="仿宋_GB2312" w:cs="Times New Roman"/>
          <w:color w:val="auto"/>
          <w:sz w:val="30"/>
          <w:szCs w:val="30"/>
          <w:highlight w:val="none"/>
        </w:rPr>
        <w:t>。</w:t>
      </w:r>
    </w:p>
    <w:p w14:paraId="489D9E85">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二、支出决算情况说明</w:t>
      </w:r>
    </w:p>
    <w:p w14:paraId="6C22E6F3">
      <w:pPr>
        <w:spacing w:line="600" w:lineRule="exact"/>
        <w:ind w:firstLine="600" w:firstLineChars="200"/>
        <w:rPr>
          <w:rFonts w:hint="default" w:ascii="Times New Roman" w:hAnsi="Times New Roman" w:eastAsia="仿宋_GB2312" w:cs="Times New Roman"/>
          <w:color w:val="auto"/>
          <w:kern w:val="0"/>
          <w:sz w:val="30"/>
          <w:szCs w:val="30"/>
          <w:highlight w:val="none"/>
        </w:rPr>
      </w:pPr>
      <w:r>
        <w:rPr>
          <w:rFonts w:hint="eastAsia" w:ascii="仿宋_GB2312" w:hAnsi="仿宋_GB2312" w:eastAsia="仿宋_GB2312" w:cs="仿宋_GB2312"/>
          <w:color w:val="auto"/>
          <w:sz w:val="30"/>
          <w:lang w:val="zh-CN"/>
        </w:rPr>
        <w:t>中国共产党华宁县委员会组织部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年度支出合计</w:t>
      </w:r>
      <w:r>
        <w:rPr>
          <w:rFonts w:hint="default" w:ascii="Times New Roman" w:hAnsi="Times New Roman" w:eastAsia="仿宋_GB2312" w:cs="Times New Roman"/>
          <w:color w:val="auto"/>
          <w:sz w:val="30"/>
          <w:lang w:val="zh-CN"/>
        </w:rPr>
        <w:t>8</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085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417.75</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。其中：</w:t>
      </w:r>
      <w:r>
        <w:rPr>
          <w:rFonts w:hint="default" w:ascii="Times New Roman" w:hAnsi="Times New Roman" w:eastAsia="仿宋_GB2312" w:cs="Times New Roman"/>
          <w:color w:val="auto"/>
          <w:kern w:val="0"/>
          <w:sz w:val="30"/>
          <w:szCs w:val="30"/>
          <w:highlight w:val="none"/>
        </w:rPr>
        <w:t>基本支出</w:t>
      </w:r>
      <w:r>
        <w:rPr>
          <w:rFonts w:hint="default" w:ascii="Times New Roman" w:hAnsi="Times New Roman" w:eastAsia="仿宋_GB2312" w:cs="Times New Roman"/>
          <w:color w:val="auto"/>
          <w:sz w:val="30"/>
          <w:lang w:val="zh-CN"/>
        </w:rPr>
        <w:t>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179</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163.10</w:t>
      </w:r>
      <w:r>
        <w:rPr>
          <w:rFonts w:hint="default" w:ascii="Times New Roman" w:hAnsi="Times New Roman" w:eastAsia="仿宋_GB2312" w:cs="Times New Roman"/>
          <w:color w:val="auto"/>
          <w:kern w:val="0"/>
          <w:sz w:val="30"/>
          <w:szCs w:val="30"/>
          <w:highlight w:val="none"/>
          <w:lang w:eastAsia="zh-CN"/>
        </w:rPr>
        <w:t>元</w:t>
      </w:r>
      <w:r>
        <w:rPr>
          <w:rFonts w:hint="default" w:ascii="Times New Roman" w:hAnsi="Times New Roman" w:eastAsia="仿宋_GB2312" w:cs="Times New Roman"/>
          <w:color w:val="auto"/>
          <w:kern w:val="0"/>
          <w:sz w:val="30"/>
          <w:szCs w:val="30"/>
          <w:highlight w:val="none"/>
        </w:rPr>
        <w:t>，占总支出的</w:t>
      </w:r>
      <w:r>
        <w:rPr>
          <w:rFonts w:hint="default" w:ascii="Times New Roman" w:hAnsi="Times New Roman" w:eastAsia="仿宋_GB2312" w:cs="Times New Roman"/>
          <w:color w:val="auto"/>
          <w:sz w:val="30"/>
          <w:lang w:val="zh-CN"/>
        </w:rPr>
        <w:t>64.06</w:t>
      </w:r>
      <w:r>
        <w:rPr>
          <w:rFonts w:hint="default" w:ascii="Times New Roman" w:hAnsi="Times New Roman" w:eastAsia="仿宋_GB2312" w:cs="Times New Roman"/>
          <w:color w:val="auto"/>
          <w:kern w:val="0"/>
          <w:sz w:val="30"/>
          <w:szCs w:val="30"/>
          <w:highlight w:val="none"/>
        </w:rPr>
        <w:t>％；项目支出</w:t>
      </w:r>
      <w:r>
        <w:rPr>
          <w:rFonts w:hint="default" w:ascii="Times New Roman" w:hAnsi="Times New Roman" w:eastAsia="仿宋_GB2312" w:cs="Times New Roman"/>
          <w:color w:val="auto"/>
          <w:sz w:val="30"/>
          <w:lang w:val="zh-CN"/>
        </w:rPr>
        <w:t>2</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906</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254.65</w:t>
      </w:r>
      <w:r>
        <w:rPr>
          <w:rFonts w:hint="default" w:ascii="Times New Roman" w:hAnsi="Times New Roman" w:eastAsia="仿宋_GB2312" w:cs="Times New Roman"/>
          <w:color w:val="auto"/>
          <w:kern w:val="0"/>
          <w:sz w:val="30"/>
          <w:szCs w:val="30"/>
          <w:highlight w:val="none"/>
          <w:lang w:eastAsia="zh-CN"/>
        </w:rPr>
        <w:t>元</w:t>
      </w:r>
      <w:r>
        <w:rPr>
          <w:rFonts w:hint="default" w:ascii="Times New Roman" w:hAnsi="Times New Roman" w:eastAsia="仿宋_GB2312" w:cs="Times New Roman"/>
          <w:color w:val="auto"/>
          <w:kern w:val="0"/>
          <w:sz w:val="30"/>
          <w:szCs w:val="30"/>
          <w:highlight w:val="none"/>
        </w:rPr>
        <w:t>，占总支出的</w:t>
      </w:r>
      <w:r>
        <w:rPr>
          <w:rFonts w:hint="default" w:ascii="Times New Roman" w:hAnsi="Times New Roman" w:eastAsia="仿宋_GB2312" w:cs="Times New Roman"/>
          <w:color w:val="auto"/>
          <w:sz w:val="30"/>
          <w:lang w:val="zh-CN"/>
        </w:rPr>
        <w:t>35.94</w:t>
      </w:r>
      <w:r>
        <w:rPr>
          <w:rFonts w:hint="default" w:ascii="Times New Roman" w:hAnsi="Times New Roman" w:eastAsia="仿宋_GB2312" w:cs="Times New Roman"/>
          <w:color w:val="auto"/>
          <w:kern w:val="0"/>
          <w:sz w:val="30"/>
          <w:szCs w:val="30"/>
          <w:highlight w:val="none"/>
        </w:rPr>
        <w:t>％；上缴上级支出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w:t>
      </w:r>
      <w:r>
        <w:rPr>
          <w:rFonts w:hint="default" w:ascii="Times New Roman" w:hAnsi="Times New Roman" w:eastAsia="仿宋_GB2312" w:cs="Times New Roman"/>
          <w:color w:val="auto"/>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rPr>
        <w:t>％；经营支出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w:t>
      </w:r>
      <w:r>
        <w:rPr>
          <w:rFonts w:hint="default" w:ascii="Times New Roman" w:hAnsi="Times New Roman" w:eastAsia="仿宋_GB2312" w:cs="Times New Roman"/>
          <w:color w:val="auto"/>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rPr>
        <w:t>％；对附属单位补助支出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w:t>
      </w:r>
      <w:r>
        <w:rPr>
          <w:rFonts w:hint="default" w:ascii="Times New Roman" w:hAnsi="Times New Roman" w:eastAsia="仿宋_GB2312" w:cs="Times New Roman"/>
          <w:color w:val="auto"/>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rPr>
        <w:t>％。</w:t>
      </w:r>
    </w:p>
    <w:p w14:paraId="36B04A38">
      <w:pPr>
        <w:spacing w:line="6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与上年</w:t>
      </w:r>
      <w:r>
        <w:rPr>
          <w:rFonts w:hint="default" w:ascii="Times New Roman" w:hAnsi="Times New Roman" w:eastAsia="仿宋_GB2312" w:cs="Times New Roman"/>
          <w:color w:val="auto"/>
          <w:sz w:val="30"/>
          <w:szCs w:val="30"/>
          <w:highlight w:val="none"/>
          <w:lang w:eastAsia="zh-CN"/>
        </w:rPr>
        <w:t>相比，支出</w:t>
      </w:r>
      <w:r>
        <w:rPr>
          <w:rFonts w:hint="default" w:ascii="Times New Roman" w:hAnsi="Times New Roman" w:eastAsia="仿宋_GB2312" w:cs="Times New Roman"/>
          <w:color w:val="auto"/>
          <w:sz w:val="30"/>
          <w:szCs w:val="30"/>
          <w:highlight w:val="none"/>
        </w:rPr>
        <w:t>合计</w:t>
      </w:r>
      <w:r>
        <w:rPr>
          <w:rFonts w:hint="default" w:ascii="Times New Roman" w:hAnsi="Times New Roman" w:eastAsia="仿宋_GB2312" w:cs="Times New Roman"/>
          <w:color w:val="auto"/>
          <w:sz w:val="30"/>
          <w:szCs w:val="30"/>
          <w:highlight w:val="none"/>
          <w:lang w:val="en-US" w:eastAsia="zh-CN"/>
        </w:rPr>
        <w:t>减少</w:t>
      </w:r>
      <w:r>
        <w:rPr>
          <w:rFonts w:hint="default" w:ascii="Times New Roman" w:hAnsi="Times New Roman" w:eastAsia="仿宋_GB2312" w:cs="Times New Roman"/>
          <w:color w:val="auto"/>
          <w:sz w:val="30"/>
          <w:lang w:val="zh-CN"/>
        </w:rPr>
        <w:t>236</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245.00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lang w:val="en-US" w:eastAsia="zh-CN"/>
        </w:rPr>
        <w:t>下降</w:t>
      </w:r>
      <w:r>
        <w:rPr>
          <w:rFonts w:hint="default" w:ascii="Times New Roman" w:hAnsi="Times New Roman" w:eastAsia="仿宋_GB2312" w:cs="Times New Roman"/>
          <w:color w:val="auto"/>
          <w:sz w:val="30"/>
          <w:lang w:val="zh-CN"/>
        </w:rPr>
        <w:t>2.84</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。其中：</w:t>
      </w:r>
      <w:r>
        <w:rPr>
          <w:rFonts w:hint="default" w:ascii="Times New Roman" w:hAnsi="Times New Roman" w:eastAsia="仿宋_GB2312" w:cs="Times New Roman"/>
          <w:color w:val="auto"/>
          <w:kern w:val="0"/>
          <w:sz w:val="30"/>
          <w:szCs w:val="30"/>
          <w:highlight w:val="none"/>
        </w:rPr>
        <w:t>基本支出</w:t>
      </w:r>
      <w:r>
        <w:rPr>
          <w:rFonts w:hint="default" w:ascii="Times New Roman" w:hAnsi="Times New Roman" w:eastAsia="仿宋_GB2312" w:cs="Times New Roman"/>
          <w:color w:val="auto"/>
          <w:sz w:val="30"/>
          <w:szCs w:val="30"/>
          <w:highlight w:val="none"/>
          <w:lang w:val="en-US" w:eastAsia="zh-CN"/>
        </w:rPr>
        <w:t>减少</w:t>
      </w:r>
      <w:r>
        <w:rPr>
          <w:rFonts w:hint="default" w:ascii="Times New Roman" w:hAnsi="Times New Roman" w:eastAsia="仿宋_GB2312" w:cs="Times New Roman"/>
          <w:color w:val="auto"/>
          <w:sz w:val="30"/>
          <w:lang w:val="zh-CN"/>
        </w:rPr>
        <w:t>654</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173.96</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lang w:val="en-US" w:eastAsia="zh-CN"/>
        </w:rPr>
        <w:t>下</w:t>
      </w:r>
      <w:r>
        <w:rPr>
          <w:rFonts w:hint="default" w:ascii="Times New Roman" w:hAnsi="Times New Roman" w:eastAsia="仿宋_GB2312" w:cs="Times New Roman"/>
          <w:color w:val="auto"/>
          <w:sz w:val="30"/>
          <w:lang w:val="zh-CN"/>
        </w:rPr>
        <w:t>11.21</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；项目支出增加</w:t>
      </w:r>
      <w:r>
        <w:rPr>
          <w:rFonts w:hint="default" w:ascii="Times New Roman" w:hAnsi="Times New Roman" w:eastAsia="仿宋_GB2312" w:cs="Times New Roman"/>
          <w:color w:val="auto"/>
          <w:sz w:val="30"/>
          <w:lang w:val="zh-CN"/>
        </w:rPr>
        <w:t>417</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928.96</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lang w:val="zh-CN"/>
        </w:rPr>
        <w:t>16.80</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highlight w:val="none"/>
          <w:lang w:eastAsia="zh-CN"/>
        </w:rPr>
        <w:t>；上缴上级支出增加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eastAsia="zh-CN"/>
        </w:rPr>
        <w:t>%；经营支出增加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eastAsia="zh-CN"/>
        </w:rPr>
        <w:t>%；对附属单位补助支出增加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eastAsia="zh-CN"/>
        </w:rPr>
        <w:t>%。主要原因是</w:t>
      </w:r>
      <w:r>
        <w:rPr>
          <w:rFonts w:hint="default" w:ascii="Times New Roman" w:hAnsi="Times New Roman" w:eastAsia="仿宋_GB2312" w:cs="Times New Roman"/>
          <w:color w:val="auto"/>
          <w:sz w:val="30"/>
          <w:szCs w:val="30"/>
          <w:highlight w:val="none"/>
          <w:lang w:val="en-US" w:eastAsia="zh-CN"/>
        </w:rPr>
        <w:t>:2024年财政困难，基本支出减少；老党员定期生活补、党群服务中心建设工程欠拨款、教育培训等项目结算了部分资金，2024年项目支出增加</w:t>
      </w:r>
      <w:r>
        <w:rPr>
          <w:rFonts w:hint="default" w:ascii="Times New Roman" w:hAnsi="Times New Roman" w:eastAsia="仿宋_GB2312" w:cs="Times New Roman"/>
          <w:color w:val="auto"/>
          <w:sz w:val="30"/>
          <w:szCs w:val="30"/>
          <w:highlight w:val="none"/>
        </w:rPr>
        <w:t>。</w:t>
      </w:r>
    </w:p>
    <w:p w14:paraId="067A5E8A">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14:paraId="5EADA4A0">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rPr>
      </w:pPr>
      <w:r>
        <w:rPr>
          <w:rFonts w:hint="eastAsia" w:ascii="Times New Roman" w:hAnsi="Times New Roman" w:eastAsia="仿宋_GB2312" w:cs="Times New Roman"/>
          <w:color w:val="auto"/>
          <w:sz w:val="30"/>
          <w:szCs w:val="30"/>
          <w:highlight w:val="none"/>
          <w:lang w:val="en-US" w:eastAsia="zh-CN"/>
        </w:rPr>
        <w:t>2024</w:t>
      </w:r>
      <w:r>
        <w:rPr>
          <w:rFonts w:hint="eastAsia" w:ascii="Times New Roman" w:hAnsi="Times New Roman" w:eastAsia="仿宋_GB2312" w:cs="Times New Roman"/>
          <w:color w:val="auto"/>
          <w:sz w:val="30"/>
          <w:szCs w:val="30"/>
          <w:highlight w:val="none"/>
          <w:lang w:val="zh-CN"/>
        </w:rPr>
        <w:t>年度用于保障中国共产党华宁县委员会组织部机关、下属事业单位等机构正常运转的日常支出5</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rPr>
        <w:t>179</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rPr>
        <w:t>163.10</w:t>
      </w:r>
      <w:r>
        <w:rPr>
          <w:rFonts w:hint="eastAsia" w:ascii="Times New Roman" w:hAnsi="Times New Roman" w:eastAsia="仿宋_GB2312" w:cs="Times New Roman"/>
          <w:color w:val="auto"/>
          <w:sz w:val="30"/>
          <w:szCs w:val="30"/>
          <w:highlight w:val="none"/>
          <w:lang w:val="zh-CN" w:eastAsia="zh-CN"/>
        </w:rPr>
        <w:t>元</w:t>
      </w:r>
      <w:r>
        <w:rPr>
          <w:rFonts w:hint="eastAsia" w:ascii="Times New Roman" w:hAnsi="Times New Roman" w:eastAsia="仿宋_GB2312" w:cs="Times New Roman"/>
          <w:color w:val="auto"/>
          <w:sz w:val="30"/>
          <w:szCs w:val="30"/>
          <w:highlight w:val="none"/>
          <w:lang w:val="zh-CN"/>
        </w:rPr>
        <w:t>。</w:t>
      </w:r>
      <w:r>
        <w:rPr>
          <w:rFonts w:hint="eastAsia" w:ascii="Times New Roman" w:hAnsi="Times New Roman" w:eastAsia="仿宋_GB2312" w:cs="Times New Roman"/>
          <w:color w:val="auto"/>
          <w:sz w:val="30"/>
          <w:szCs w:val="30"/>
          <w:highlight w:val="none"/>
          <w:lang w:val="zh-CN" w:eastAsia="zh-CN"/>
        </w:rPr>
        <w:t>其中：</w:t>
      </w:r>
      <w:r>
        <w:rPr>
          <w:rFonts w:hint="eastAsia" w:ascii="Times New Roman" w:hAnsi="Times New Roman" w:eastAsia="仿宋_GB2312" w:cs="Times New Roman"/>
          <w:color w:val="auto"/>
          <w:sz w:val="30"/>
          <w:szCs w:val="30"/>
          <w:highlight w:val="none"/>
          <w:lang w:val="zh-CN"/>
        </w:rPr>
        <w:t>基本工资、津贴补贴等人员经费支出4</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rPr>
        <w:t>642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rPr>
        <w:t>696.52</w:t>
      </w:r>
      <w:r>
        <w:rPr>
          <w:rFonts w:hint="eastAsia" w:ascii="Times New Roman" w:hAnsi="Times New Roman" w:eastAsia="仿宋_GB2312" w:cs="Times New Roman"/>
          <w:color w:val="auto"/>
          <w:sz w:val="30"/>
          <w:szCs w:val="30"/>
          <w:highlight w:val="none"/>
          <w:lang w:val="zh-CN" w:eastAsia="zh-CN"/>
        </w:rPr>
        <w:t>元，</w:t>
      </w:r>
      <w:r>
        <w:rPr>
          <w:rFonts w:hint="eastAsia" w:ascii="Times New Roman" w:hAnsi="Times New Roman" w:eastAsia="仿宋_GB2312" w:cs="Times New Roman"/>
          <w:color w:val="auto"/>
          <w:sz w:val="30"/>
          <w:szCs w:val="30"/>
          <w:highlight w:val="none"/>
          <w:lang w:val="zh-CN"/>
        </w:rPr>
        <w:t>占基本支出的89.64％；办公费、印刷费、水电费、办公设备购置等公用经费536</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rPr>
        <w:t>466.58</w:t>
      </w:r>
      <w:r>
        <w:rPr>
          <w:rFonts w:hint="eastAsia" w:ascii="Times New Roman" w:hAnsi="Times New Roman" w:eastAsia="仿宋_GB2312" w:cs="Times New Roman"/>
          <w:color w:val="auto"/>
          <w:sz w:val="30"/>
          <w:szCs w:val="30"/>
          <w:highlight w:val="none"/>
          <w:lang w:val="zh-CN" w:eastAsia="zh-CN"/>
        </w:rPr>
        <w:t>元，</w:t>
      </w:r>
      <w:r>
        <w:rPr>
          <w:rFonts w:hint="eastAsia" w:ascii="Times New Roman" w:hAnsi="Times New Roman" w:eastAsia="仿宋_GB2312" w:cs="Times New Roman"/>
          <w:color w:val="auto"/>
          <w:sz w:val="30"/>
          <w:szCs w:val="30"/>
          <w:highlight w:val="none"/>
          <w:lang w:val="zh-CN"/>
        </w:rPr>
        <w:t>占基本支出的10.36％。</w:t>
      </w:r>
    </w:p>
    <w:p w14:paraId="4899C653">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14:paraId="70C0E896">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2024年度用于保障</w:t>
      </w:r>
      <w:r>
        <w:rPr>
          <w:rFonts w:hint="eastAsia" w:ascii="Times New Roman" w:hAnsi="Times New Roman" w:eastAsia="仿宋_GB2312" w:cs="Times New Roman"/>
          <w:color w:val="auto"/>
          <w:sz w:val="30"/>
          <w:szCs w:val="30"/>
          <w:highlight w:val="none"/>
          <w:lang w:val="zh-CN" w:eastAsia="zh-CN"/>
        </w:rPr>
        <w:t>中国共产党华宁县委员会组织部</w:t>
      </w:r>
      <w:r>
        <w:rPr>
          <w:rFonts w:hint="eastAsia" w:ascii="Times New Roman" w:hAnsi="Times New Roman" w:eastAsia="仿宋_GB2312" w:cs="Times New Roman"/>
          <w:color w:val="auto"/>
          <w:sz w:val="30"/>
          <w:szCs w:val="30"/>
          <w:highlight w:val="none"/>
          <w:lang w:val="en-US" w:eastAsia="zh-CN"/>
        </w:rPr>
        <w:t>机关、下属事业单位等机构为完成特定的行政工作任务或事业发展目标，用于专项业务工作的经费支出</w:t>
      </w:r>
      <w:r>
        <w:rPr>
          <w:rFonts w:hint="eastAsia" w:ascii="Times New Roman" w:hAnsi="Times New Roman" w:eastAsia="仿宋_GB2312" w:cs="Times New Roman"/>
          <w:color w:val="auto"/>
          <w:sz w:val="30"/>
          <w:szCs w:val="30"/>
          <w:highlight w:val="none"/>
          <w:lang w:val="zh-CN" w:eastAsia="zh-CN"/>
        </w:rPr>
        <w:t>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906</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254.65</w:t>
      </w:r>
      <w:r>
        <w:rPr>
          <w:rFonts w:hint="eastAsia" w:ascii="Times New Roman" w:hAnsi="Times New Roman" w:eastAsia="仿宋_GB2312" w:cs="Times New Roman"/>
          <w:color w:val="auto"/>
          <w:sz w:val="30"/>
          <w:szCs w:val="30"/>
          <w:highlight w:val="none"/>
          <w:lang w:val="en-US" w:eastAsia="zh-CN"/>
        </w:rPr>
        <w:t>元。其中：基本建设类项目支出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w:t>
      </w:r>
    </w:p>
    <w:p w14:paraId="190FF393">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1.华宁县人才工作专项资金69,000.00元，主要用于支付2024年4月至8月专家顾问生活补助9,000元，支付2022年引进人才购房补贴48,000.00元，支付2022年事业单位引进人才购房补贴税费12,000.00元。</w:t>
      </w:r>
    </w:p>
    <w:p w14:paraId="50779A25">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华宁县教育培训项目专项资金543,294.00元，主要用于支付华宁县基层干部“产业发展”专题培训班（第二期）费用359,030.00元，支付第十期青干班培训费用131,528.00元，支付华宁县新时代“三基本”干部教育轮训暨党建引领基层治理专题培训班费用33,524.00元，支付党的二十大精神读书班费用5,632.00元，支付其他干部教育培训费用13,580.00元。</w:t>
      </w:r>
    </w:p>
    <w:p w14:paraId="5133EC99">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3.玉财行〔2023〕255号2023年第二批下派选调生到村工作中央补助资金123,615.45元，主要用于支付服务群众经费80,000.00元，支付调研相关费用15,256.00元，支付培训等费用28,359.45元。</w:t>
      </w:r>
    </w:p>
    <w:p w14:paraId="35B5DB8D">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4.老年大学办学项目专项经费53,640.00元，主要用于支付2023年教师薪酬48,640.00元，支付2024年场地险5,000.00元。</w:t>
      </w:r>
    </w:p>
    <w:p w14:paraId="5DE8336E">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5.华宁县老干部活动中心综合楼修缮和室外活动场地建设项目资金180,000.00元，主要用于支付老干部活动中心修缮费180,000.00元。</w:t>
      </w:r>
    </w:p>
    <w:p w14:paraId="6FC7580B">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6.华宁县委组织部2024年欠拨工程款专项资金50,000.00元，主要用于支付县党群服务中心装修工程款50,000.00元。</w:t>
      </w:r>
    </w:p>
    <w:p w14:paraId="615EA4D0">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7.华宁县人才公寓建设资金67,089.00元,主要用于购置人才公寓家具63,189.00元，制作标识牌2,400.00元，支付保洁费用1,500.00元。</w:t>
      </w:r>
    </w:p>
    <w:p w14:paraId="37243EA2">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8.玉财行〔2023〕257号2023年农村困难党员关爱行动补助经费250,000.00元，主要用于支付青龙镇2023年下半年老党员定补73,730.00元，支付盘溪镇2023年下半年老党员定补62,930.00元，支付宁州街道2023年下半年老党员定补113,340.00元。</w:t>
      </w:r>
    </w:p>
    <w:p w14:paraId="1C399578">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9.干部档案数字化建设工作专项资金200,392.00元，主要用于支付干部人事档案数字化设备采购费75,640.00元，支付档案数字化服务预付费115,500.00元，支付档案数字化办公用品及耗材费9,252.00元。</w:t>
      </w:r>
    </w:p>
    <w:p w14:paraId="1815CCC8">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10.离退休老干部慰问专项经费398,390.00元，主要用于支付春节慰问离退休老干部196,650.00元，老年节慰问离退休老干部201,740.00元。</w:t>
      </w:r>
    </w:p>
    <w:p w14:paraId="716DBBCC">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11.华宁县华溪镇柑桔产业发展“后服务中心”项目经费20,000.00元，主要用于支付华溪镇柑桔产业后服务中心党建引领中心建设展板费20,000.00元。</w:t>
      </w:r>
    </w:p>
    <w:p w14:paraId="291BC091">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12.华宁县各领域党建工作和党员培训专项资金27,165.30元，主要用于支付水电费9,000.00元，报刊杂志征订费18,165.30元。</w:t>
      </w:r>
    </w:p>
    <w:p w14:paraId="57F578F6">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13.华宁县“智慧党建”专项资金60,000.00元，主要用于支付随机调研信息系统通信服务费20,000.00元，支付2021年党员教育视频片开发款40,000.00元。</w:t>
      </w:r>
    </w:p>
    <w:p w14:paraId="777A1F2F">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14.玉财行〔2024〕15号2024年度下派选调生到村工作中央财政补助资金177,262.40元，主要用于支付驻村选调生一次性安置费45,000.00元，支付选调生培训费用89,179.40元，支付调研相关费用3,083.00元，支付服务群众经费40,000.00元。</w:t>
      </w:r>
    </w:p>
    <w:p w14:paraId="547FA696">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15.退休人员一次性抚恤金和丧葬费项目经费250,680.00元，主要用于支付退休人员一次性抚恤金和丧葬费项目经费250,680.00元。</w:t>
      </w:r>
    </w:p>
    <w:p w14:paraId="23A75E8F">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16.机关事业单位职工遗属生活补助经费14,205.00元，主要用于支付2024年单位职工遗属生活补助14,205.00元。</w:t>
      </w:r>
    </w:p>
    <w:p w14:paraId="18AD865D">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17.华宁县老党员定期生活补、参合费专项资金341,640.00元，主要用于支付盘溪镇2023年下半年老党员定补6,380.00元，支付华溪镇2023年下半年老党员定补20,290.00元，支付通红甸乡2023年下半年老党员定补14,930.00元，支付宁州街道2024年上半年老党员定补115,880.00元，支付华溪镇2024年上半年老党员定补21,280.00元，支付盘溪镇2024年上半年老党员定补70,300.00元，支付青龙镇2024年上半年老党员定补77,470.00元，支付通红甸2024年上半年老党员定补15,110.00元。</w:t>
      </w:r>
    </w:p>
    <w:p w14:paraId="21987044">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18.玉财农〔2023〕240号全市驻村第一书记和乡镇工作队长工作经费15,300.00元，主要用于支付驻村第一书记工作经费5,000.00元，支付下派第一书记2024年生活补助10,300.00元。</w:t>
      </w:r>
    </w:p>
    <w:p w14:paraId="72BB3122">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19.2024年度收缴老年大学学费专项资金64,581.50元，主要用于支付2023年级2024年教师薪酬45,440.00元，支付2025年场地险5,000.00元，支付教师学员团体意外险费用3,410.00元，支付老年大学2023至2024学年毕业汇演活动费用8,088.00元，支付2,643.50元。</w:t>
      </w:r>
    </w:p>
    <w:p w14:paraId="791302A2">
      <w:pPr>
        <w:widowControl/>
        <w:snapToGrid w:val="0"/>
        <w:spacing w:before="100" w:after="100" w:line="600" w:lineRule="exact"/>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14:paraId="0D9B3A0D">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14:paraId="23580101">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zh-CN" w:eastAsia="zh-CN"/>
        </w:rPr>
        <w:t>中国共产党华宁县委员会组织部</w:t>
      </w:r>
      <w:r>
        <w:rPr>
          <w:rFonts w:hint="eastAsia" w:ascii="Times New Roman" w:hAnsi="Times New Roman" w:eastAsia="仿宋_GB2312" w:cs="Times New Roman"/>
          <w:color w:val="auto"/>
          <w:sz w:val="30"/>
          <w:szCs w:val="30"/>
          <w:highlight w:val="none"/>
          <w:lang w:val="en-US" w:eastAsia="zh-CN"/>
        </w:rPr>
        <w:t>2024年度一般公共预算财政拨款支出</w:t>
      </w:r>
      <w:r>
        <w:rPr>
          <w:rFonts w:hint="eastAsia" w:ascii="Times New Roman" w:hAnsi="Times New Roman" w:eastAsia="仿宋_GB2312" w:cs="Times New Roman"/>
          <w:color w:val="auto"/>
          <w:sz w:val="30"/>
          <w:szCs w:val="30"/>
          <w:highlight w:val="none"/>
          <w:lang w:val="zh-CN" w:eastAsia="zh-CN"/>
        </w:rPr>
        <w:t>8020836.25</w:t>
      </w:r>
      <w:r>
        <w:rPr>
          <w:rFonts w:hint="eastAsia" w:ascii="Times New Roman" w:hAnsi="Times New Roman" w:eastAsia="仿宋_GB2312" w:cs="Times New Roman"/>
          <w:color w:val="auto"/>
          <w:sz w:val="30"/>
          <w:szCs w:val="30"/>
          <w:highlight w:val="none"/>
          <w:lang w:val="en-US" w:eastAsia="zh-CN"/>
        </w:rPr>
        <w:t>元,占本年支出合计的</w:t>
      </w:r>
      <w:r>
        <w:rPr>
          <w:rFonts w:hint="eastAsia" w:ascii="Times New Roman" w:hAnsi="Times New Roman" w:eastAsia="仿宋_GB2312" w:cs="Times New Roman"/>
          <w:color w:val="auto"/>
          <w:sz w:val="30"/>
          <w:szCs w:val="30"/>
          <w:highlight w:val="none"/>
          <w:lang w:val="zh-CN" w:eastAsia="zh-CN"/>
        </w:rPr>
        <w:t>99.20</w:t>
      </w:r>
      <w:r>
        <w:rPr>
          <w:rFonts w:hint="eastAsia" w:ascii="Times New Roman" w:hAnsi="Times New Roman" w:eastAsia="仿宋_GB2312" w:cs="Times New Roman"/>
          <w:color w:val="auto"/>
          <w:sz w:val="30"/>
          <w:szCs w:val="30"/>
          <w:highlight w:val="none"/>
          <w:lang w:val="en-US" w:eastAsia="zh-CN"/>
        </w:rPr>
        <w:t>%。与上年相比减少</w:t>
      </w:r>
      <w:r>
        <w:rPr>
          <w:rFonts w:hint="eastAsia" w:ascii="Times New Roman" w:hAnsi="Times New Roman" w:eastAsia="仿宋_GB2312" w:cs="Times New Roman"/>
          <w:color w:val="auto"/>
          <w:sz w:val="30"/>
          <w:szCs w:val="30"/>
          <w:highlight w:val="none"/>
          <w:lang w:val="zh-CN" w:eastAsia="zh-CN"/>
        </w:rPr>
        <w:t>249528.00</w:t>
      </w:r>
      <w:r>
        <w:rPr>
          <w:rFonts w:hint="eastAsia" w:ascii="Times New Roman" w:hAnsi="Times New Roman" w:eastAsia="仿宋_GB2312" w:cs="Times New Roman"/>
          <w:color w:val="auto"/>
          <w:sz w:val="30"/>
          <w:szCs w:val="30"/>
          <w:highlight w:val="none"/>
          <w:lang w:val="en-US" w:eastAsia="zh-CN"/>
        </w:rPr>
        <w:t>元，下降</w:t>
      </w:r>
      <w:r>
        <w:rPr>
          <w:rFonts w:hint="eastAsia" w:ascii="Times New Roman" w:hAnsi="Times New Roman" w:eastAsia="仿宋_GB2312" w:cs="Times New Roman"/>
          <w:color w:val="auto"/>
          <w:sz w:val="30"/>
          <w:szCs w:val="30"/>
          <w:highlight w:val="none"/>
          <w:lang w:val="zh-CN" w:eastAsia="zh-CN"/>
        </w:rPr>
        <w:t>3.02</w:t>
      </w:r>
      <w:r>
        <w:rPr>
          <w:rFonts w:hint="eastAsia" w:ascii="Times New Roman" w:hAnsi="Times New Roman" w:eastAsia="仿宋_GB2312" w:cs="Times New Roman"/>
          <w:color w:val="auto"/>
          <w:sz w:val="30"/>
          <w:szCs w:val="30"/>
          <w:highlight w:val="none"/>
          <w:lang w:val="en-US" w:eastAsia="zh-CN"/>
        </w:rPr>
        <w:t>%,完成年初预算的</w:t>
      </w:r>
      <w:r>
        <w:rPr>
          <w:rFonts w:hint="eastAsia" w:ascii="Times New Roman" w:hAnsi="Times New Roman" w:eastAsia="仿宋_GB2312" w:cs="Times New Roman"/>
          <w:color w:val="auto"/>
          <w:sz w:val="30"/>
          <w:szCs w:val="30"/>
          <w:highlight w:val="none"/>
          <w:lang w:val="zh-CN" w:eastAsia="zh-CN"/>
        </w:rPr>
        <w:t>111.27</w:t>
      </w:r>
      <w:r>
        <w:rPr>
          <w:rFonts w:hint="eastAsia" w:ascii="Times New Roman" w:hAnsi="Times New Roman" w:eastAsia="仿宋_GB2312" w:cs="Times New Roman"/>
          <w:color w:val="auto"/>
          <w:sz w:val="30"/>
          <w:szCs w:val="30"/>
          <w:highlight w:val="none"/>
          <w:lang w:val="en-US" w:eastAsia="zh-CN"/>
        </w:rPr>
        <w:t>%。</w:t>
      </w:r>
    </w:p>
    <w:p w14:paraId="7E59CCB6">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eastAsia="zh-CN"/>
        </w:rPr>
        <w:t>分功能分类科目情况</w:t>
      </w:r>
      <w:r>
        <w:rPr>
          <w:rFonts w:hint="eastAsia" w:ascii="楷体" w:hAnsi="楷体" w:eastAsia="楷体"/>
          <w:color w:val="auto"/>
          <w:sz w:val="30"/>
          <w:szCs w:val="30"/>
          <w:highlight w:val="none"/>
        </w:rPr>
        <w:tab/>
      </w:r>
    </w:p>
    <w:p w14:paraId="7949B965">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zh-CN" w:eastAsia="zh-CN"/>
        </w:rPr>
        <w:t>1.一般公共服务（类）支出628</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7582.36元，占一般公共预算财政拨款总支出的78.39%,完成年初预算的162.36</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。主要用于</w:t>
      </w:r>
      <w:r>
        <w:rPr>
          <w:rFonts w:hint="default" w:ascii="Times New Roman" w:hAnsi="Times New Roman" w:eastAsia="仿宋_GB2312" w:cs="Times New Roman"/>
          <w:color w:val="auto"/>
          <w:sz w:val="30"/>
          <w:szCs w:val="30"/>
          <w:highlight w:val="none"/>
          <w:lang w:val="zh-CN" w:eastAsia="zh-CN"/>
        </w:rPr>
        <w:t>人员经费工资支出及日常运转公用经费支出</w:t>
      </w:r>
      <w:r>
        <w:rPr>
          <w:rFonts w:hint="eastAsia" w:ascii="Times New Roman" w:hAnsi="Times New Roman" w:eastAsia="仿宋_GB2312" w:cs="Times New Roman"/>
          <w:color w:val="auto"/>
          <w:sz w:val="30"/>
          <w:szCs w:val="30"/>
          <w:highlight w:val="none"/>
          <w:lang w:val="zh-CN" w:eastAsia="zh-CN"/>
        </w:rPr>
        <w:t>；造成预决算差异的主要原因是人员变动导致人员经费增加，及项目支出增加。</w:t>
      </w:r>
    </w:p>
    <w:p w14:paraId="7FD5DE92">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zh-CN" w:eastAsia="zh-CN"/>
        </w:rPr>
        <w:t>2.外交（类）支出0.00元，占一般公共预算财政拨款总支出的0.00%,年初无此项预算。</w:t>
      </w:r>
    </w:p>
    <w:p w14:paraId="5D128CC2">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zh-CN" w:eastAsia="zh-CN"/>
        </w:rPr>
        <w:t>3.国防（类）支出0.00元，占一般公共预算财政拨款总支出的0.00%,年初无此项预算。</w:t>
      </w:r>
    </w:p>
    <w:p w14:paraId="3EAB1199">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zh-CN" w:eastAsia="zh-CN"/>
        </w:rPr>
        <w:t>4.公共安全（类）支出0.00元，占一般公共预算财政拨款总支出的0.00%,年初无此项预算。</w:t>
      </w:r>
    </w:p>
    <w:p w14:paraId="36B23488">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5.教育（类）支出0.00元，占一般公共预算财政拨款总支出的0.00%</w:t>
      </w:r>
      <w:r>
        <w:rPr>
          <w:rFonts w:hint="eastAsia" w:ascii="Times New Roman" w:hAnsi="Times New Roman" w:eastAsia="仿宋_GB2312" w:cs="Times New Roman"/>
          <w:color w:val="auto"/>
          <w:sz w:val="30"/>
          <w:szCs w:val="30"/>
          <w:highlight w:val="none"/>
          <w:lang w:val="zh-CN" w:eastAsia="zh-CN"/>
        </w:rPr>
        <w:t>,年初无此项预算。</w:t>
      </w:r>
    </w:p>
    <w:p w14:paraId="2F1D80CA">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6.科学技术（类）支出0.00元，占一般公共预算财政拨款总支出的0.00%</w:t>
      </w:r>
      <w:r>
        <w:rPr>
          <w:rFonts w:hint="eastAsia" w:ascii="Times New Roman" w:hAnsi="Times New Roman" w:eastAsia="仿宋_GB2312" w:cs="Times New Roman"/>
          <w:color w:val="auto"/>
          <w:sz w:val="30"/>
          <w:szCs w:val="30"/>
          <w:highlight w:val="none"/>
          <w:lang w:val="zh-CN" w:eastAsia="zh-CN"/>
        </w:rPr>
        <w:t>,年初无此项预算。</w:t>
      </w:r>
    </w:p>
    <w:p w14:paraId="30E52B84">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7.文化旅游体育与传媒（类）支出0.00元，占一般公共预算财政拨款总支出的0.00%</w:t>
      </w:r>
      <w:r>
        <w:rPr>
          <w:rFonts w:hint="eastAsia" w:ascii="Times New Roman" w:hAnsi="Times New Roman" w:eastAsia="仿宋_GB2312" w:cs="Times New Roman"/>
          <w:color w:val="auto"/>
          <w:sz w:val="30"/>
          <w:szCs w:val="30"/>
          <w:highlight w:val="none"/>
          <w:lang w:val="zh-CN" w:eastAsia="zh-CN"/>
        </w:rPr>
        <w:t>,年初无此项预算。</w:t>
      </w:r>
    </w:p>
    <w:p w14:paraId="3FC3B1B9">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8.社会保障和就业（类）支出1,225,472.05元，占一般公共预算财政拨款总支出的15.28%</w:t>
      </w:r>
      <w:r>
        <w:rPr>
          <w:rFonts w:hint="eastAsia" w:ascii="Times New Roman" w:hAnsi="Times New Roman" w:eastAsia="仿宋_GB2312" w:cs="Times New Roman"/>
          <w:color w:val="auto"/>
          <w:sz w:val="30"/>
          <w:szCs w:val="30"/>
          <w:highlight w:val="none"/>
          <w:lang w:val="zh-CN" w:eastAsia="zh-CN"/>
        </w:rPr>
        <w:t>,完成年初预算的49.96</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。主要用于支付单位干部职工养老保险、</w:t>
      </w:r>
      <w:r>
        <w:rPr>
          <w:rFonts w:hint="eastAsia" w:ascii="Times New Roman" w:hAnsi="Times New Roman" w:eastAsia="仿宋_GB2312" w:cs="Times New Roman"/>
          <w:color w:val="auto"/>
          <w:sz w:val="30"/>
          <w:szCs w:val="30"/>
          <w:highlight w:val="none"/>
          <w:lang w:val="en-US" w:eastAsia="zh-CN"/>
        </w:rPr>
        <w:t>退休人员一次性抚恤金和丧葬费、</w:t>
      </w:r>
      <w:r>
        <w:rPr>
          <w:rFonts w:hint="eastAsia" w:ascii="Times New Roman" w:hAnsi="Times New Roman" w:eastAsia="仿宋_GB2312" w:cs="Times New Roman"/>
          <w:color w:val="auto"/>
          <w:sz w:val="30"/>
          <w:szCs w:val="30"/>
          <w:highlight w:val="none"/>
          <w:lang w:val="zh-CN" w:eastAsia="zh-CN"/>
        </w:rPr>
        <w:t>单位职工遗属生活补助、老党员定补、慰问离退休老干部等；造成预决算差异的主要原因是人员变动，财政困难。</w:t>
      </w:r>
    </w:p>
    <w:p w14:paraId="235E17F2">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9.卫生健康（类）支出</w:t>
      </w:r>
      <w:r>
        <w:rPr>
          <w:rFonts w:hint="eastAsia" w:ascii="Times New Roman" w:hAnsi="Times New Roman" w:eastAsia="仿宋_GB2312" w:cs="Times New Roman"/>
          <w:color w:val="auto"/>
          <w:sz w:val="30"/>
          <w:szCs w:val="30"/>
          <w:highlight w:val="none"/>
          <w:lang w:val="zh-CN" w:eastAsia="zh-CN"/>
        </w:rPr>
        <w:t>418</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809.84元，占一般公共预算财政拨款总支出的5.22%,完成年初预算的98.29</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。主要用于支付单位干部职工医疗保险、公务员医疗补助、工伤保险、大病保险；造成预决算差异的主要原因是人员变动。</w:t>
      </w:r>
    </w:p>
    <w:p w14:paraId="67113A09">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10.节能环保（类）支出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48D66BB6">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11.城乡社区（类）支出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6C651023">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12.农林水（类）支出</w:t>
      </w:r>
      <w:r>
        <w:rPr>
          <w:rFonts w:hint="eastAsia" w:ascii="Times New Roman" w:hAnsi="Times New Roman" w:eastAsia="仿宋_GB2312" w:cs="Times New Roman"/>
          <w:color w:val="auto"/>
          <w:sz w:val="30"/>
          <w:szCs w:val="30"/>
          <w:highlight w:val="none"/>
          <w:lang w:val="zh-CN" w:eastAsia="zh-CN"/>
        </w:rPr>
        <w:t>15</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300.00元，占一般公共预算财政拨款总支出的0.19%,完成年初预算的0.00</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。主要用于</w:t>
      </w:r>
      <w:r>
        <w:rPr>
          <w:rFonts w:hint="eastAsia" w:ascii="Times New Roman" w:hAnsi="Times New Roman" w:eastAsia="仿宋_GB2312" w:cs="Times New Roman"/>
          <w:color w:val="auto"/>
          <w:sz w:val="30"/>
          <w:szCs w:val="30"/>
          <w:highlight w:val="none"/>
          <w:lang w:val="en-US" w:eastAsia="zh-CN"/>
        </w:rPr>
        <w:t>支付驻村第一书记工作经费及年生活补助</w:t>
      </w:r>
      <w:r>
        <w:rPr>
          <w:rFonts w:hint="eastAsia" w:ascii="Times New Roman" w:hAnsi="Times New Roman" w:eastAsia="仿宋_GB2312" w:cs="Times New Roman"/>
          <w:color w:val="auto"/>
          <w:sz w:val="30"/>
          <w:szCs w:val="30"/>
          <w:highlight w:val="none"/>
          <w:lang w:val="zh-CN" w:eastAsia="zh-CN"/>
        </w:rPr>
        <w:t>；造成预决算差异的主要原因是财政项目经费保障到位。</w:t>
      </w:r>
    </w:p>
    <w:p w14:paraId="6C753AA5">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13.交通运输（类）支出</w:t>
      </w:r>
      <w:r>
        <w:rPr>
          <w:rFonts w:hint="eastAsia" w:ascii="Times New Roman" w:hAnsi="Times New Roman" w:eastAsia="仿宋_GB2312" w:cs="Times New Roman"/>
          <w:color w:val="auto"/>
          <w:sz w:val="30"/>
          <w:szCs w:val="30"/>
          <w:highlight w:val="none"/>
          <w:lang w:val="zh-CN" w:eastAsia="zh-CN"/>
        </w:rPr>
        <w:t>0.00元，年初无此项预算。</w:t>
      </w:r>
    </w:p>
    <w:p w14:paraId="15501873">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14.资源勘探工业信息等（类）支出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6518B908">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15.商业服务业等（类）支出</w:t>
      </w:r>
      <w:r>
        <w:rPr>
          <w:rFonts w:hint="eastAsia" w:ascii="Times New Roman" w:hAnsi="Times New Roman" w:eastAsia="仿宋_GB2312" w:cs="Times New Roman"/>
          <w:color w:val="auto"/>
          <w:sz w:val="30"/>
          <w:szCs w:val="30"/>
          <w:highlight w:val="none"/>
          <w:lang w:val="zh-CN" w:eastAsia="zh-CN"/>
        </w:rPr>
        <w:t>0.00元，年初无此项预算。</w:t>
      </w:r>
    </w:p>
    <w:p w14:paraId="54CE078E">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16.金融（类）支出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3D700900">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17.援助其他地区（类）支出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7AA5DA57">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18.自然资源海洋气象等（类）支出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3741A92F">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19.住房保障（类）支出</w:t>
      </w:r>
      <w:r>
        <w:rPr>
          <w:rFonts w:hint="eastAsia" w:ascii="Times New Roman" w:hAnsi="Times New Roman" w:eastAsia="仿宋_GB2312" w:cs="Times New Roman"/>
          <w:color w:val="auto"/>
          <w:sz w:val="30"/>
          <w:szCs w:val="30"/>
          <w:highlight w:val="none"/>
          <w:lang w:val="zh-CN" w:eastAsia="zh-CN"/>
        </w:rPr>
        <w:t>73</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672.00元，占一般公共预算财政拨款总支出的0.92%,完成年初预算的16.14</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。主要用于支付单位干部职工公积金；造成预决算差异的主要原因是财政困难。</w:t>
      </w:r>
    </w:p>
    <w:p w14:paraId="1E9ADDEA">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20.粮油物资储备（类）支出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01C64D47">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21.国有资本经营预算（类）支出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24EF3E92">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22.灾害防治及应急管理（类）支出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17ABDD04">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23.其他（类）支出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2FE3CAD4">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24.债务还本（类）支出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38F7F9E7">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25.债务付息（类）支出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5F6BB61A">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en-US" w:eastAsia="zh-CN"/>
        </w:rPr>
        <w:t>26.抗疫特别国债安排（类）支出</w:t>
      </w:r>
      <w:r>
        <w:rPr>
          <w:rFonts w:hint="eastAsia" w:ascii="Times New Roman" w:hAnsi="Times New Roman" w:eastAsia="仿宋_GB2312" w:cs="Times New Roman"/>
          <w:color w:val="auto"/>
          <w:sz w:val="30"/>
          <w:szCs w:val="30"/>
          <w:highlight w:val="none"/>
          <w:lang w:val="zh-CN" w:eastAsia="zh-CN"/>
        </w:rPr>
        <w:t>0.00元，占一般公共预算财政拨款总支出的0.00%,年初无此项预算。</w:t>
      </w:r>
    </w:p>
    <w:p w14:paraId="7459EBBB">
      <w:pPr>
        <w:widowControl/>
        <w:numPr>
          <w:ilvl w:val="0"/>
          <w:numId w:val="0"/>
        </w:numPr>
        <w:snapToGrid w:val="0"/>
        <w:spacing w:before="100" w:after="100" w:line="360" w:lineRule="auto"/>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四、</w:t>
      </w:r>
      <w:r>
        <w:rPr>
          <w:rFonts w:hint="eastAsia" w:ascii="黑体" w:hAnsi="黑体" w:eastAsia="黑体"/>
          <w:color w:val="auto"/>
          <w:sz w:val="30"/>
          <w:szCs w:val="30"/>
          <w:highlight w:val="none"/>
        </w:rPr>
        <w:t>财政拨款“三公”经费支出决算情况说明</w:t>
      </w:r>
    </w:p>
    <w:p w14:paraId="33C4744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（一）总体情况</w:t>
      </w:r>
    </w:p>
    <w:p w14:paraId="795008BA">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2024年度财政拨款“三公”经费支出决算中，财政拨款“三公”经费支出年初预算为38,400.00元，决算为</w:t>
      </w:r>
      <w:r>
        <w:rPr>
          <w:rFonts w:hint="eastAsia" w:ascii="Times New Roman" w:hAnsi="Times New Roman" w:eastAsia="仿宋_GB2312" w:cs="Times New Roman"/>
          <w:color w:val="auto"/>
          <w:sz w:val="30"/>
          <w:szCs w:val="30"/>
          <w:highlight w:val="none"/>
          <w:lang w:val="zh-CN" w:eastAsia="zh-CN"/>
        </w:rPr>
        <w:t>22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430.57</w:t>
      </w:r>
      <w:r>
        <w:rPr>
          <w:rFonts w:hint="eastAsia" w:ascii="Times New Roman" w:hAnsi="Times New Roman" w:eastAsia="仿宋_GB2312" w:cs="Times New Roman"/>
          <w:color w:val="auto"/>
          <w:sz w:val="30"/>
          <w:szCs w:val="30"/>
          <w:highlight w:val="none"/>
          <w:lang w:val="en-US" w:eastAsia="zh-CN"/>
        </w:rPr>
        <w:t>元，完成年初预算的</w:t>
      </w:r>
      <w:r>
        <w:rPr>
          <w:rFonts w:hint="eastAsia" w:ascii="Times New Roman" w:hAnsi="Times New Roman" w:eastAsia="仿宋_GB2312" w:cs="Times New Roman"/>
          <w:color w:val="auto"/>
          <w:sz w:val="30"/>
          <w:szCs w:val="30"/>
          <w:highlight w:val="none"/>
          <w:lang w:val="zh-CN" w:eastAsia="zh-CN"/>
        </w:rPr>
        <w:t>58.41</w:t>
      </w:r>
      <w:r>
        <w:rPr>
          <w:rFonts w:hint="eastAsia" w:ascii="Times New Roman" w:hAnsi="Times New Roman" w:eastAsia="仿宋_GB2312" w:cs="Times New Roman"/>
          <w:color w:val="auto"/>
          <w:sz w:val="30"/>
          <w:szCs w:val="30"/>
          <w:highlight w:val="none"/>
          <w:lang w:val="en-US" w:eastAsia="zh-CN"/>
        </w:rPr>
        <w:t>%；支出决算较上年增加</w:t>
      </w:r>
      <w:r>
        <w:rPr>
          <w:rFonts w:hint="eastAsia" w:ascii="Times New Roman" w:hAnsi="Times New Roman" w:eastAsia="仿宋_GB2312" w:cs="Times New Roman"/>
          <w:color w:val="auto"/>
          <w:sz w:val="30"/>
          <w:szCs w:val="30"/>
          <w:highlight w:val="none"/>
          <w:lang w:val="zh-CN" w:eastAsia="zh-CN"/>
        </w:rPr>
        <w:t>153.02</w:t>
      </w:r>
      <w:r>
        <w:rPr>
          <w:rFonts w:hint="eastAsia" w:ascii="Times New Roman" w:hAnsi="Times New Roman" w:eastAsia="仿宋_GB2312" w:cs="Times New Roman"/>
          <w:color w:val="auto"/>
          <w:sz w:val="30"/>
          <w:szCs w:val="30"/>
          <w:highlight w:val="none"/>
          <w:lang w:val="en-US" w:eastAsia="zh-CN"/>
        </w:rPr>
        <w:t>元，增长</w:t>
      </w:r>
      <w:r>
        <w:rPr>
          <w:rFonts w:hint="eastAsia" w:ascii="Times New Roman" w:hAnsi="Times New Roman" w:eastAsia="仿宋_GB2312" w:cs="Times New Roman"/>
          <w:color w:val="auto"/>
          <w:sz w:val="30"/>
          <w:szCs w:val="30"/>
          <w:highlight w:val="none"/>
          <w:lang w:val="zh-CN" w:eastAsia="zh-CN"/>
        </w:rPr>
        <w:t>0.69</w:t>
      </w:r>
      <w:r>
        <w:rPr>
          <w:rFonts w:hint="eastAsia" w:ascii="Times New Roman" w:hAnsi="Times New Roman" w:eastAsia="仿宋_GB2312" w:cs="Times New Roman"/>
          <w:color w:val="auto"/>
          <w:sz w:val="30"/>
          <w:szCs w:val="30"/>
          <w:highlight w:val="none"/>
          <w:lang w:val="en-US" w:eastAsia="zh-CN"/>
        </w:rPr>
        <w:t>%。</w:t>
      </w:r>
    </w:p>
    <w:p w14:paraId="16EB0061">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因公出国（境）费支出年初预算为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元，占财政拨款“三公”经费总支出决算的</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%；公务用车购置费支出年初预算为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元，占财政拨款“三公”经费总支出决算的</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%；公务用车运行维护费支出年初预算为</w:t>
      </w:r>
      <w:r>
        <w:rPr>
          <w:rFonts w:hint="eastAsia" w:ascii="Times New Roman" w:hAnsi="Times New Roman" w:eastAsia="仿宋_GB2312" w:cs="Times New Roman"/>
          <w:color w:val="auto"/>
          <w:sz w:val="30"/>
          <w:szCs w:val="30"/>
          <w:highlight w:val="none"/>
          <w:lang w:val="zh-CN" w:eastAsia="zh-CN"/>
        </w:rPr>
        <w:t>12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000.00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11</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999.57</w:t>
      </w:r>
      <w:r>
        <w:rPr>
          <w:rFonts w:hint="eastAsia" w:ascii="Times New Roman" w:hAnsi="Times New Roman" w:eastAsia="仿宋_GB2312" w:cs="Times New Roman"/>
          <w:color w:val="auto"/>
          <w:sz w:val="30"/>
          <w:szCs w:val="30"/>
          <w:highlight w:val="none"/>
          <w:lang w:val="en-US" w:eastAsia="zh-CN"/>
        </w:rPr>
        <w:t>元，占财政拨款“三公”经费总支出决算的</w:t>
      </w:r>
      <w:r>
        <w:rPr>
          <w:rFonts w:hint="eastAsia" w:ascii="Times New Roman" w:hAnsi="Times New Roman" w:eastAsia="仿宋_GB2312" w:cs="Times New Roman"/>
          <w:color w:val="auto"/>
          <w:sz w:val="30"/>
          <w:szCs w:val="30"/>
          <w:highlight w:val="none"/>
          <w:lang w:val="zh-CN" w:eastAsia="zh-CN"/>
        </w:rPr>
        <w:t>53.50</w:t>
      </w:r>
      <w:r>
        <w:rPr>
          <w:rFonts w:hint="eastAsia" w:ascii="Times New Roman" w:hAnsi="Times New Roman" w:eastAsia="仿宋_GB2312" w:cs="Times New Roman"/>
          <w:color w:val="auto"/>
          <w:sz w:val="30"/>
          <w:szCs w:val="30"/>
          <w:highlight w:val="none"/>
          <w:lang w:val="en-US" w:eastAsia="zh-CN"/>
        </w:rPr>
        <w:t>%，完成年初预算的</w:t>
      </w:r>
      <w:r>
        <w:rPr>
          <w:rFonts w:hint="eastAsia" w:ascii="Times New Roman" w:hAnsi="Times New Roman" w:eastAsia="仿宋_GB2312" w:cs="Times New Roman"/>
          <w:color w:val="auto"/>
          <w:sz w:val="30"/>
          <w:szCs w:val="30"/>
          <w:highlight w:val="none"/>
          <w:lang w:val="zh-CN" w:eastAsia="zh-CN"/>
        </w:rPr>
        <w:t>100.00</w:t>
      </w:r>
      <w:r>
        <w:rPr>
          <w:rFonts w:hint="eastAsia" w:ascii="Times New Roman" w:hAnsi="Times New Roman" w:eastAsia="仿宋_GB2312" w:cs="Times New Roman"/>
          <w:color w:val="auto"/>
          <w:sz w:val="30"/>
          <w:szCs w:val="30"/>
          <w:highlight w:val="none"/>
          <w:lang w:val="en-US" w:eastAsia="zh-CN"/>
        </w:rPr>
        <w:t>%；公务接待费支出年初预算为</w:t>
      </w:r>
      <w:r>
        <w:rPr>
          <w:rFonts w:hint="eastAsia" w:ascii="Times New Roman" w:hAnsi="Times New Roman" w:eastAsia="仿宋_GB2312" w:cs="Times New Roman"/>
          <w:color w:val="auto"/>
          <w:sz w:val="30"/>
          <w:szCs w:val="30"/>
          <w:highlight w:val="none"/>
          <w:lang w:val="zh-CN" w:eastAsia="zh-CN"/>
        </w:rPr>
        <w:t>26</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400.00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10</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431.00</w:t>
      </w:r>
      <w:r>
        <w:rPr>
          <w:rFonts w:hint="eastAsia" w:ascii="Times New Roman" w:hAnsi="Times New Roman" w:eastAsia="仿宋_GB2312" w:cs="Times New Roman"/>
          <w:color w:val="auto"/>
          <w:sz w:val="30"/>
          <w:szCs w:val="30"/>
          <w:highlight w:val="none"/>
          <w:lang w:val="en-US" w:eastAsia="zh-CN"/>
        </w:rPr>
        <w:t>元，占财政拨款“三公”经费总支出决算的</w:t>
      </w:r>
      <w:r>
        <w:rPr>
          <w:rFonts w:hint="eastAsia" w:ascii="Times New Roman" w:hAnsi="Times New Roman" w:eastAsia="仿宋_GB2312" w:cs="Times New Roman"/>
          <w:color w:val="auto"/>
          <w:sz w:val="30"/>
          <w:szCs w:val="30"/>
          <w:highlight w:val="none"/>
          <w:lang w:val="zh-CN" w:eastAsia="zh-CN"/>
        </w:rPr>
        <w:t>46.50</w:t>
      </w:r>
      <w:r>
        <w:rPr>
          <w:rFonts w:hint="eastAsia" w:ascii="Times New Roman" w:hAnsi="Times New Roman" w:eastAsia="仿宋_GB2312" w:cs="Times New Roman"/>
          <w:color w:val="auto"/>
          <w:sz w:val="30"/>
          <w:szCs w:val="30"/>
          <w:highlight w:val="none"/>
          <w:lang w:val="en-US" w:eastAsia="zh-CN"/>
        </w:rPr>
        <w:t>%，完成年初预算的</w:t>
      </w:r>
      <w:r>
        <w:rPr>
          <w:rFonts w:hint="eastAsia" w:ascii="Times New Roman" w:hAnsi="Times New Roman" w:eastAsia="仿宋_GB2312" w:cs="Times New Roman"/>
          <w:color w:val="auto"/>
          <w:sz w:val="30"/>
          <w:szCs w:val="30"/>
          <w:highlight w:val="none"/>
          <w:lang w:val="zh-CN" w:eastAsia="zh-CN"/>
        </w:rPr>
        <w:t>39.51</w:t>
      </w:r>
      <w:r>
        <w:rPr>
          <w:rFonts w:hint="eastAsia" w:ascii="Times New Roman" w:hAnsi="Times New Roman" w:eastAsia="仿宋_GB2312" w:cs="Times New Roman"/>
          <w:color w:val="auto"/>
          <w:sz w:val="30"/>
          <w:szCs w:val="30"/>
          <w:highlight w:val="none"/>
          <w:lang w:val="en-US" w:eastAsia="zh-CN"/>
        </w:rPr>
        <w:t>%。</w:t>
      </w:r>
    </w:p>
    <w:p w14:paraId="1E7E2F5F">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因公出国（境）费支出决算较上年增加</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元，上年无此项支出；公务用车购置费支出决算较上年增加</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元，上年无此项支出；公务用车运行维护费支出决算较上年增加</w:t>
      </w:r>
      <w:r>
        <w:rPr>
          <w:rFonts w:hint="eastAsia" w:ascii="Times New Roman" w:hAnsi="Times New Roman" w:eastAsia="仿宋_GB2312" w:cs="Times New Roman"/>
          <w:color w:val="auto"/>
          <w:sz w:val="30"/>
          <w:szCs w:val="30"/>
          <w:highlight w:val="none"/>
          <w:lang w:val="zh-CN" w:eastAsia="zh-CN"/>
        </w:rPr>
        <w:t>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329.02</w:t>
      </w:r>
      <w:r>
        <w:rPr>
          <w:rFonts w:hint="eastAsia" w:ascii="Times New Roman" w:hAnsi="Times New Roman" w:eastAsia="仿宋_GB2312" w:cs="Times New Roman"/>
          <w:color w:val="auto"/>
          <w:sz w:val="30"/>
          <w:szCs w:val="30"/>
          <w:highlight w:val="none"/>
          <w:lang w:val="en-US" w:eastAsia="zh-CN"/>
        </w:rPr>
        <w:t>元，增长</w:t>
      </w:r>
      <w:r>
        <w:rPr>
          <w:rFonts w:hint="eastAsia" w:ascii="Times New Roman" w:hAnsi="Times New Roman" w:eastAsia="仿宋_GB2312" w:cs="Times New Roman"/>
          <w:color w:val="auto"/>
          <w:sz w:val="30"/>
          <w:szCs w:val="30"/>
          <w:highlight w:val="none"/>
          <w:lang w:val="zh-CN" w:eastAsia="zh-CN"/>
        </w:rPr>
        <w:t>24.08</w:t>
      </w:r>
      <w:r>
        <w:rPr>
          <w:rFonts w:hint="eastAsia" w:ascii="Times New Roman" w:hAnsi="Times New Roman" w:eastAsia="仿宋_GB2312" w:cs="Times New Roman"/>
          <w:color w:val="auto"/>
          <w:sz w:val="30"/>
          <w:szCs w:val="30"/>
          <w:highlight w:val="none"/>
          <w:lang w:val="en-US" w:eastAsia="zh-CN"/>
        </w:rPr>
        <w:t>%；公务接待费支出决算较上年减少</w:t>
      </w:r>
      <w:r>
        <w:rPr>
          <w:rFonts w:hint="eastAsia" w:ascii="Times New Roman" w:hAnsi="Times New Roman" w:eastAsia="仿宋_GB2312" w:cs="Times New Roman"/>
          <w:color w:val="auto"/>
          <w:sz w:val="30"/>
          <w:szCs w:val="30"/>
          <w:highlight w:val="none"/>
          <w:lang w:val="zh-CN" w:eastAsia="zh-CN"/>
        </w:rPr>
        <w:t>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176.00</w:t>
      </w:r>
      <w:r>
        <w:rPr>
          <w:rFonts w:hint="eastAsia" w:ascii="Times New Roman" w:hAnsi="Times New Roman" w:eastAsia="仿宋_GB2312" w:cs="Times New Roman"/>
          <w:color w:val="auto"/>
          <w:sz w:val="30"/>
          <w:szCs w:val="30"/>
          <w:highlight w:val="none"/>
          <w:lang w:val="en-US" w:eastAsia="zh-CN"/>
        </w:rPr>
        <w:t>元，下降</w:t>
      </w:r>
      <w:r>
        <w:rPr>
          <w:rFonts w:hint="eastAsia" w:ascii="Times New Roman" w:hAnsi="Times New Roman" w:eastAsia="仿宋_GB2312" w:cs="Times New Roman"/>
          <w:color w:val="auto"/>
          <w:sz w:val="30"/>
          <w:szCs w:val="30"/>
          <w:highlight w:val="none"/>
          <w:lang w:val="zh-CN" w:eastAsia="zh-CN"/>
        </w:rPr>
        <w:t>17.26</w:t>
      </w:r>
      <w:r>
        <w:rPr>
          <w:rFonts w:hint="eastAsia" w:ascii="Times New Roman" w:hAnsi="Times New Roman" w:eastAsia="仿宋_GB2312" w:cs="Times New Roman"/>
          <w:color w:val="auto"/>
          <w:sz w:val="30"/>
          <w:szCs w:val="30"/>
          <w:highlight w:val="none"/>
          <w:lang w:val="en-US" w:eastAsia="zh-CN"/>
        </w:rPr>
        <w:t>%；具体是国内接待费支出决算</w:t>
      </w:r>
      <w:r>
        <w:rPr>
          <w:rFonts w:hint="eastAsia" w:ascii="Times New Roman" w:hAnsi="Times New Roman" w:eastAsia="仿宋_GB2312" w:cs="Times New Roman"/>
          <w:color w:val="auto"/>
          <w:sz w:val="30"/>
          <w:szCs w:val="30"/>
          <w:highlight w:val="none"/>
          <w:lang w:val="zh-CN" w:eastAsia="zh-CN"/>
        </w:rPr>
        <w:t>10</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431.00</w:t>
      </w:r>
      <w:r>
        <w:rPr>
          <w:rFonts w:hint="eastAsia" w:ascii="Times New Roman" w:hAnsi="Times New Roman" w:eastAsia="仿宋_GB2312" w:cs="Times New Roman"/>
          <w:color w:val="auto"/>
          <w:sz w:val="30"/>
          <w:szCs w:val="30"/>
          <w:highlight w:val="none"/>
          <w:lang w:val="en-US" w:eastAsia="zh-CN"/>
        </w:rPr>
        <w:t>元（其中：外事接待费支出决算</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元），较上年减少</w:t>
      </w:r>
      <w:r>
        <w:rPr>
          <w:rFonts w:hint="eastAsia" w:ascii="Times New Roman" w:hAnsi="Times New Roman" w:eastAsia="仿宋_GB2312" w:cs="Times New Roman"/>
          <w:color w:val="auto"/>
          <w:sz w:val="30"/>
          <w:szCs w:val="30"/>
          <w:highlight w:val="none"/>
          <w:lang w:val="zh-CN" w:eastAsia="zh-CN"/>
        </w:rPr>
        <w:t>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176.00</w:t>
      </w:r>
      <w:r>
        <w:rPr>
          <w:rFonts w:hint="eastAsia" w:ascii="Times New Roman" w:hAnsi="Times New Roman" w:eastAsia="仿宋_GB2312" w:cs="Times New Roman"/>
          <w:color w:val="auto"/>
          <w:sz w:val="30"/>
          <w:szCs w:val="30"/>
          <w:highlight w:val="none"/>
          <w:lang w:val="en-US" w:eastAsia="zh-CN"/>
        </w:rPr>
        <w:t>元，下降</w:t>
      </w:r>
      <w:r>
        <w:rPr>
          <w:rFonts w:hint="eastAsia" w:ascii="Times New Roman" w:hAnsi="Times New Roman" w:eastAsia="仿宋_GB2312" w:cs="Times New Roman"/>
          <w:color w:val="auto"/>
          <w:sz w:val="30"/>
          <w:szCs w:val="30"/>
          <w:highlight w:val="none"/>
          <w:lang w:val="zh-CN" w:eastAsia="zh-CN"/>
        </w:rPr>
        <w:t>17.26</w:t>
      </w:r>
      <w:r>
        <w:rPr>
          <w:rFonts w:hint="eastAsia" w:ascii="Times New Roman" w:hAnsi="Times New Roman" w:eastAsia="仿宋_GB2312" w:cs="Times New Roman"/>
          <w:color w:val="auto"/>
          <w:sz w:val="30"/>
          <w:szCs w:val="30"/>
          <w:highlight w:val="none"/>
          <w:lang w:val="en-US" w:eastAsia="zh-CN"/>
        </w:rPr>
        <w:t>%；国（境）外接待费支出决算</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元，较上年增加</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元，上年无此项支出。</w:t>
      </w:r>
    </w:p>
    <w:p w14:paraId="1947B21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（二）一般公共预算财政拨款“三公”经费支出决算情况说明</w:t>
      </w:r>
    </w:p>
    <w:p w14:paraId="04F329B7">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2024年度一般公共预算财政拨款“三公”经费支出年初预算为</w:t>
      </w:r>
      <w:r>
        <w:rPr>
          <w:rFonts w:hint="eastAsia" w:ascii="Times New Roman" w:hAnsi="Times New Roman" w:eastAsia="仿宋_GB2312" w:cs="Times New Roman"/>
          <w:color w:val="auto"/>
          <w:sz w:val="30"/>
          <w:szCs w:val="30"/>
          <w:highlight w:val="none"/>
          <w:lang w:val="zh-CN" w:eastAsia="zh-CN"/>
        </w:rPr>
        <w:t>38</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400.00</w:t>
      </w:r>
      <w:r>
        <w:rPr>
          <w:rFonts w:hint="eastAsia" w:ascii="Times New Roman" w:hAnsi="Times New Roman" w:eastAsia="仿宋_GB2312" w:cs="Times New Roman"/>
          <w:color w:val="auto"/>
          <w:sz w:val="30"/>
          <w:szCs w:val="30"/>
          <w:highlight w:val="none"/>
          <w:lang w:val="en-US" w:eastAsia="zh-CN"/>
        </w:rPr>
        <w:t>元，支出决算为</w:t>
      </w:r>
      <w:r>
        <w:rPr>
          <w:rFonts w:hint="eastAsia" w:ascii="Times New Roman" w:hAnsi="Times New Roman" w:eastAsia="仿宋_GB2312" w:cs="Times New Roman"/>
          <w:color w:val="auto"/>
          <w:sz w:val="30"/>
          <w:szCs w:val="30"/>
          <w:highlight w:val="none"/>
          <w:lang w:val="zh-CN" w:eastAsia="zh-CN"/>
        </w:rPr>
        <w:t>22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430.57</w:t>
      </w:r>
      <w:r>
        <w:rPr>
          <w:rFonts w:hint="eastAsia" w:ascii="Times New Roman" w:hAnsi="Times New Roman" w:eastAsia="仿宋_GB2312" w:cs="Times New Roman"/>
          <w:color w:val="auto"/>
          <w:sz w:val="30"/>
          <w:szCs w:val="30"/>
          <w:highlight w:val="none"/>
          <w:lang w:val="en-US" w:eastAsia="zh-CN"/>
        </w:rPr>
        <w:t>元，完成年初预算的</w:t>
      </w:r>
      <w:r>
        <w:rPr>
          <w:rFonts w:hint="eastAsia" w:ascii="Times New Roman" w:hAnsi="Times New Roman" w:eastAsia="仿宋_GB2312" w:cs="Times New Roman"/>
          <w:color w:val="auto"/>
          <w:sz w:val="30"/>
          <w:szCs w:val="30"/>
          <w:highlight w:val="none"/>
          <w:lang w:val="zh-CN" w:eastAsia="zh-CN"/>
        </w:rPr>
        <w:t>58.41</w:t>
      </w:r>
      <w:r>
        <w:rPr>
          <w:rFonts w:hint="eastAsia" w:ascii="Times New Roman" w:hAnsi="Times New Roman" w:eastAsia="仿宋_GB2312" w:cs="Times New Roman"/>
          <w:color w:val="auto"/>
          <w:sz w:val="30"/>
          <w:szCs w:val="30"/>
          <w:highlight w:val="none"/>
          <w:lang w:val="en-US" w:eastAsia="zh-CN"/>
        </w:rPr>
        <w:t>%，支出决算较上年增加</w:t>
      </w:r>
      <w:r>
        <w:rPr>
          <w:rFonts w:hint="eastAsia" w:ascii="Times New Roman" w:hAnsi="Times New Roman" w:eastAsia="仿宋_GB2312" w:cs="Times New Roman"/>
          <w:color w:val="auto"/>
          <w:sz w:val="30"/>
          <w:szCs w:val="30"/>
          <w:highlight w:val="none"/>
          <w:lang w:val="zh-CN" w:eastAsia="zh-CN"/>
        </w:rPr>
        <w:t>153.02</w:t>
      </w:r>
      <w:r>
        <w:rPr>
          <w:rFonts w:hint="eastAsia" w:ascii="Times New Roman" w:hAnsi="Times New Roman" w:eastAsia="仿宋_GB2312" w:cs="Times New Roman"/>
          <w:color w:val="auto"/>
          <w:sz w:val="30"/>
          <w:szCs w:val="30"/>
          <w:highlight w:val="none"/>
          <w:lang w:val="en-US" w:eastAsia="zh-CN"/>
        </w:rPr>
        <w:t>元，增长</w:t>
      </w:r>
      <w:r>
        <w:rPr>
          <w:rFonts w:hint="eastAsia" w:ascii="Times New Roman" w:hAnsi="Times New Roman" w:eastAsia="仿宋_GB2312" w:cs="Times New Roman"/>
          <w:color w:val="auto"/>
          <w:sz w:val="30"/>
          <w:szCs w:val="30"/>
          <w:highlight w:val="none"/>
          <w:lang w:val="zh-CN" w:eastAsia="zh-CN"/>
        </w:rPr>
        <w:t>0.69</w:t>
      </w:r>
      <w:r>
        <w:rPr>
          <w:rFonts w:hint="eastAsia" w:ascii="Times New Roman" w:hAnsi="Times New Roman" w:eastAsia="仿宋_GB2312" w:cs="Times New Roman"/>
          <w:color w:val="auto"/>
          <w:sz w:val="30"/>
          <w:szCs w:val="30"/>
          <w:highlight w:val="none"/>
          <w:lang w:val="en-US" w:eastAsia="zh-CN"/>
        </w:rPr>
        <w:t>%。</w:t>
      </w:r>
    </w:p>
    <w:p w14:paraId="01F277B1">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一般公共预算财政拨款“三公”经费支出中：因公出国（境）费支出年初预算为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元；公务用车购置费支出年初预算为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元；公务用车运行维护费支出年初预算为</w:t>
      </w:r>
      <w:r>
        <w:rPr>
          <w:rFonts w:hint="eastAsia" w:ascii="Times New Roman" w:hAnsi="Times New Roman" w:eastAsia="仿宋_GB2312" w:cs="Times New Roman"/>
          <w:color w:val="auto"/>
          <w:sz w:val="30"/>
          <w:szCs w:val="30"/>
          <w:highlight w:val="none"/>
          <w:lang w:val="zh-CN" w:eastAsia="zh-CN"/>
        </w:rPr>
        <w:t>12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000.00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11</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999.57</w:t>
      </w:r>
      <w:r>
        <w:rPr>
          <w:rFonts w:hint="eastAsia" w:ascii="Times New Roman" w:hAnsi="Times New Roman" w:eastAsia="仿宋_GB2312" w:cs="Times New Roman"/>
          <w:color w:val="auto"/>
          <w:sz w:val="30"/>
          <w:szCs w:val="30"/>
          <w:highlight w:val="none"/>
          <w:lang w:val="en-US" w:eastAsia="zh-CN"/>
        </w:rPr>
        <w:t>元，完成年初预算的</w:t>
      </w:r>
      <w:r>
        <w:rPr>
          <w:rFonts w:hint="eastAsia" w:ascii="Times New Roman" w:hAnsi="Times New Roman" w:eastAsia="仿宋_GB2312" w:cs="Times New Roman"/>
          <w:color w:val="auto"/>
          <w:sz w:val="30"/>
          <w:szCs w:val="30"/>
          <w:highlight w:val="none"/>
          <w:lang w:val="zh-CN" w:eastAsia="zh-CN"/>
        </w:rPr>
        <w:t>100.00</w:t>
      </w:r>
      <w:r>
        <w:rPr>
          <w:rFonts w:hint="eastAsia" w:ascii="Times New Roman" w:hAnsi="Times New Roman" w:eastAsia="仿宋_GB2312" w:cs="Times New Roman"/>
          <w:color w:val="auto"/>
          <w:sz w:val="30"/>
          <w:szCs w:val="30"/>
          <w:highlight w:val="none"/>
          <w:lang w:val="en-US" w:eastAsia="zh-CN"/>
        </w:rPr>
        <w:t>%；公务接待费支出年初预算为</w:t>
      </w:r>
      <w:r>
        <w:rPr>
          <w:rFonts w:hint="eastAsia" w:ascii="Times New Roman" w:hAnsi="Times New Roman" w:eastAsia="仿宋_GB2312" w:cs="Times New Roman"/>
          <w:color w:val="auto"/>
          <w:sz w:val="30"/>
          <w:szCs w:val="30"/>
          <w:highlight w:val="none"/>
          <w:lang w:val="zh-CN" w:eastAsia="zh-CN"/>
        </w:rPr>
        <w:t>26</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400.00</w:t>
      </w:r>
      <w:r>
        <w:rPr>
          <w:rFonts w:hint="eastAsia" w:ascii="Times New Roman" w:hAnsi="Times New Roman" w:eastAsia="仿宋_GB2312" w:cs="Times New Roman"/>
          <w:color w:val="auto"/>
          <w:sz w:val="30"/>
          <w:szCs w:val="30"/>
          <w:highlight w:val="none"/>
          <w:lang w:val="en-US" w:eastAsia="zh-CN"/>
        </w:rPr>
        <w:t>元，决算为</w:t>
      </w:r>
      <w:r>
        <w:rPr>
          <w:rFonts w:hint="eastAsia" w:ascii="Times New Roman" w:hAnsi="Times New Roman" w:eastAsia="仿宋_GB2312" w:cs="Times New Roman"/>
          <w:color w:val="auto"/>
          <w:sz w:val="30"/>
          <w:szCs w:val="30"/>
          <w:highlight w:val="none"/>
          <w:lang w:val="zh-CN" w:eastAsia="zh-CN"/>
        </w:rPr>
        <w:t>10431.00</w:t>
      </w:r>
      <w:r>
        <w:rPr>
          <w:rFonts w:hint="eastAsia" w:ascii="Times New Roman" w:hAnsi="Times New Roman" w:eastAsia="仿宋_GB2312" w:cs="Times New Roman"/>
          <w:color w:val="auto"/>
          <w:sz w:val="30"/>
          <w:szCs w:val="30"/>
          <w:highlight w:val="none"/>
          <w:lang w:val="en-US" w:eastAsia="zh-CN"/>
        </w:rPr>
        <w:t>元，完成年初预算的</w:t>
      </w:r>
      <w:r>
        <w:rPr>
          <w:rFonts w:hint="eastAsia" w:ascii="Times New Roman" w:hAnsi="Times New Roman" w:eastAsia="仿宋_GB2312" w:cs="Times New Roman"/>
          <w:color w:val="auto"/>
          <w:sz w:val="30"/>
          <w:szCs w:val="30"/>
          <w:highlight w:val="none"/>
          <w:lang w:val="zh-CN" w:eastAsia="zh-CN"/>
        </w:rPr>
        <w:t>39.51</w:t>
      </w:r>
      <w:r>
        <w:rPr>
          <w:rFonts w:hint="eastAsia" w:ascii="Times New Roman" w:hAnsi="Times New Roman" w:eastAsia="仿宋_GB2312" w:cs="Times New Roman"/>
          <w:color w:val="auto"/>
          <w:sz w:val="30"/>
          <w:szCs w:val="30"/>
          <w:highlight w:val="none"/>
          <w:lang w:val="en-US" w:eastAsia="zh-CN"/>
        </w:rPr>
        <w:t>%。2024年度一般公共预算财政拨款“三公”经费支出决算数小于年初预算数的主要原因是公务接待费</w:t>
      </w:r>
      <w:r>
        <w:rPr>
          <w:rFonts w:hint="default" w:ascii="Times New Roman" w:hAnsi="Times New Roman" w:eastAsia="仿宋_GB2312" w:cs="Times New Roman"/>
          <w:color w:val="auto"/>
          <w:sz w:val="30"/>
          <w:szCs w:val="30"/>
          <w:highlight w:val="none"/>
          <w:lang w:val="en-US" w:eastAsia="zh-CN"/>
        </w:rPr>
        <w:t>支出决算数比预算数少</w:t>
      </w:r>
      <w:r>
        <w:rPr>
          <w:rFonts w:hint="eastAsia" w:ascii="Times New Roman" w:hAnsi="Times New Roman" w:eastAsia="仿宋_GB2312" w:cs="Times New Roman"/>
          <w:color w:val="auto"/>
          <w:sz w:val="30"/>
          <w:szCs w:val="30"/>
          <w:highlight w:val="none"/>
          <w:lang w:val="en-US" w:eastAsia="zh-CN"/>
        </w:rPr>
        <w:t>15,969.00元，</w:t>
      </w:r>
      <w:r>
        <w:rPr>
          <w:rFonts w:hint="default" w:ascii="Times New Roman" w:hAnsi="Times New Roman" w:eastAsia="仿宋_GB2312" w:cs="Times New Roman"/>
          <w:color w:val="auto"/>
          <w:sz w:val="30"/>
          <w:szCs w:val="30"/>
          <w:highlight w:val="none"/>
          <w:lang w:val="en-US" w:eastAsia="zh-CN"/>
        </w:rPr>
        <w:t>是单位严格执行厉行节约形成的。</w:t>
      </w:r>
    </w:p>
    <w:p w14:paraId="3DE8F177">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一般公共预算财政拨款“三公”经费支出中：因公出国（境）费支出决算增加</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元，上年无此项支出；公务用车购置费支出决算增加</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元，上年无此项支出；公务用车运行维护费支出决算增加</w:t>
      </w:r>
      <w:r>
        <w:rPr>
          <w:rFonts w:hint="eastAsia" w:ascii="Times New Roman" w:hAnsi="Times New Roman" w:eastAsia="仿宋_GB2312" w:cs="Times New Roman"/>
          <w:color w:val="auto"/>
          <w:sz w:val="30"/>
          <w:szCs w:val="30"/>
          <w:highlight w:val="none"/>
          <w:lang w:val="zh-CN" w:eastAsia="zh-CN"/>
        </w:rPr>
        <w:t>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329.02</w:t>
      </w:r>
      <w:r>
        <w:rPr>
          <w:rFonts w:hint="eastAsia" w:ascii="Times New Roman" w:hAnsi="Times New Roman" w:eastAsia="仿宋_GB2312" w:cs="Times New Roman"/>
          <w:color w:val="auto"/>
          <w:sz w:val="30"/>
          <w:szCs w:val="30"/>
          <w:highlight w:val="none"/>
          <w:lang w:val="en-US" w:eastAsia="zh-CN"/>
        </w:rPr>
        <w:t>元，增长</w:t>
      </w:r>
      <w:r>
        <w:rPr>
          <w:rFonts w:hint="eastAsia" w:ascii="Times New Roman" w:hAnsi="Times New Roman" w:eastAsia="仿宋_GB2312" w:cs="Times New Roman"/>
          <w:color w:val="auto"/>
          <w:sz w:val="30"/>
          <w:szCs w:val="30"/>
          <w:highlight w:val="none"/>
          <w:lang w:val="zh-CN" w:eastAsia="zh-CN"/>
        </w:rPr>
        <w:t>24.08</w:t>
      </w:r>
      <w:r>
        <w:rPr>
          <w:rFonts w:hint="eastAsia" w:ascii="Times New Roman" w:hAnsi="Times New Roman" w:eastAsia="仿宋_GB2312" w:cs="Times New Roman"/>
          <w:color w:val="auto"/>
          <w:sz w:val="30"/>
          <w:szCs w:val="30"/>
          <w:highlight w:val="none"/>
          <w:lang w:val="en-US" w:eastAsia="zh-CN"/>
        </w:rPr>
        <w:t>%；公务接待费支出决算减少</w:t>
      </w:r>
      <w:r>
        <w:rPr>
          <w:rFonts w:hint="eastAsia" w:ascii="Times New Roman" w:hAnsi="Times New Roman" w:eastAsia="仿宋_GB2312" w:cs="Times New Roman"/>
          <w:color w:val="auto"/>
          <w:sz w:val="30"/>
          <w:szCs w:val="30"/>
          <w:highlight w:val="none"/>
          <w:lang w:val="zh-CN" w:eastAsia="zh-CN"/>
        </w:rPr>
        <w:t>2</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176.00</w:t>
      </w:r>
      <w:r>
        <w:rPr>
          <w:rFonts w:hint="eastAsia" w:ascii="Times New Roman" w:hAnsi="Times New Roman" w:eastAsia="仿宋_GB2312" w:cs="Times New Roman"/>
          <w:color w:val="auto"/>
          <w:sz w:val="30"/>
          <w:szCs w:val="30"/>
          <w:highlight w:val="none"/>
          <w:lang w:val="en-US" w:eastAsia="zh-CN"/>
        </w:rPr>
        <w:t>元，下降</w:t>
      </w:r>
      <w:r>
        <w:rPr>
          <w:rFonts w:hint="eastAsia" w:ascii="Times New Roman" w:hAnsi="Times New Roman" w:eastAsia="仿宋_GB2312" w:cs="Times New Roman"/>
          <w:color w:val="auto"/>
          <w:sz w:val="30"/>
          <w:szCs w:val="30"/>
          <w:highlight w:val="none"/>
          <w:lang w:val="zh-CN" w:eastAsia="zh-CN"/>
        </w:rPr>
        <w:t>17.26</w:t>
      </w:r>
      <w:r>
        <w:rPr>
          <w:rFonts w:hint="eastAsia" w:ascii="Times New Roman" w:hAnsi="Times New Roman" w:eastAsia="仿宋_GB2312" w:cs="Times New Roman"/>
          <w:color w:val="auto"/>
          <w:sz w:val="30"/>
          <w:szCs w:val="30"/>
          <w:highlight w:val="none"/>
          <w:lang w:val="en-US" w:eastAsia="zh-CN"/>
        </w:rPr>
        <w:t>%，具体是国内接待费支出决算</w:t>
      </w:r>
      <w:r>
        <w:rPr>
          <w:rFonts w:hint="eastAsia" w:ascii="Times New Roman" w:hAnsi="Times New Roman" w:eastAsia="仿宋_GB2312" w:cs="Times New Roman"/>
          <w:color w:val="auto"/>
          <w:sz w:val="30"/>
          <w:szCs w:val="30"/>
          <w:highlight w:val="none"/>
          <w:lang w:val="zh-CN" w:eastAsia="zh-CN"/>
        </w:rPr>
        <w:t>10</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zh-CN" w:eastAsia="zh-CN"/>
        </w:rPr>
        <w:t>431.00</w:t>
      </w:r>
      <w:r>
        <w:rPr>
          <w:rFonts w:hint="eastAsia" w:ascii="Times New Roman" w:hAnsi="Times New Roman" w:eastAsia="仿宋_GB2312" w:cs="Times New Roman"/>
          <w:color w:val="auto"/>
          <w:sz w:val="30"/>
          <w:szCs w:val="30"/>
          <w:highlight w:val="none"/>
          <w:lang w:val="en-US" w:eastAsia="zh-CN"/>
        </w:rPr>
        <w:t>元（其中：外事接待费支出决算</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元），较上年增加0.00元，上年无此项支出；国（境）外接待费支出决算</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元较上年增加0.00元，上年无此项支出。2024年度一般公共预算财政拨款“三公”经费支出决算增加的主要原因是深入基层调研的频次增加，公务用车的运维费增加。</w:t>
      </w:r>
    </w:p>
    <w:p w14:paraId="7DB48E94">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一般公共预算财政拨款“三公”经费支出实物量的具体情况：</w:t>
      </w:r>
    </w:p>
    <w:p w14:paraId="0D2D88BD">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1.安排因公出国（境）团组</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个，累计</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人次。开展内容包括：无。</w:t>
      </w:r>
    </w:p>
    <w:p w14:paraId="48C05B82">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2.购置车辆</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辆。开支一般公共预算财政拨款的公务用车保有量为</w:t>
      </w:r>
      <w:r>
        <w:rPr>
          <w:rFonts w:hint="eastAsia" w:ascii="Times New Roman" w:hAnsi="Times New Roman" w:eastAsia="仿宋_GB2312" w:cs="Times New Roman"/>
          <w:color w:val="auto"/>
          <w:sz w:val="30"/>
          <w:szCs w:val="30"/>
          <w:highlight w:val="none"/>
          <w:lang w:val="zh-CN" w:eastAsia="zh-CN"/>
        </w:rPr>
        <w:t>1</w:t>
      </w:r>
      <w:r>
        <w:rPr>
          <w:rFonts w:hint="eastAsia" w:ascii="Times New Roman" w:hAnsi="Times New Roman" w:eastAsia="仿宋_GB2312" w:cs="Times New Roman"/>
          <w:color w:val="auto"/>
          <w:sz w:val="30"/>
          <w:szCs w:val="30"/>
          <w:highlight w:val="none"/>
          <w:lang w:val="en-US" w:eastAsia="zh-CN"/>
        </w:rPr>
        <w:t>辆。主要用于开展组织工作所需车辆燃料费、维修费、过路过桥费、保险费等。</w:t>
      </w:r>
    </w:p>
    <w:p w14:paraId="60A8F54F">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3.安排国内公务接待</w:t>
      </w:r>
      <w:r>
        <w:rPr>
          <w:rFonts w:hint="eastAsia" w:ascii="Times New Roman" w:hAnsi="Times New Roman" w:eastAsia="仿宋_GB2312" w:cs="Times New Roman"/>
          <w:color w:val="auto"/>
          <w:sz w:val="30"/>
          <w:szCs w:val="30"/>
          <w:highlight w:val="none"/>
          <w:lang w:val="zh-CN" w:eastAsia="zh-CN"/>
        </w:rPr>
        <w:t>15</w:t>
      </w:r>
      <w:r>
        <w:rPr>
          <w:rFonts w:hint="eastAsia" w:ascii="Times New Roman" w:hAnsi="Times New Roman" w:eastAsia="仿宋_GB2312" w:cs="Times New Roman"/>
          <w:color w:val="auto"/>
          <w:sz w:val="30"/>
          <w:szCs w:val="30"/>
          <w:highlight w:val="none"/>
          <w:lang w:val="en-US" w:eastAsia="zh-CN"/>
        </w:rPr>
        <w:t>批次（其中：外事接待</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批次），接待人次</w:t>
      </w:r>
      <w:r>
        <w:rPr>
          <w:rFonts w:hint="eastAsia" w:ascii="Times New Roman" w:hAnsi="Times New Roman" w:eastAsia="仿宋_GB2312" w:cs="Times New Roman"/>
          <w:color w:val="auto"/>
          <w:sz w:val="30"/>
          <w:szCs w:val="30"/>
          <w:highlight w:val="none"/>
          <w:lang w:val="zh-CN" w:eastAsia="zh-CN"/>
        </w:rPr>
        <w:t>138</w:t>
      </w:r>
      <w:r>
        <w:rPr>
          <w:rFonts w:hint="eastAsia" w:ascii="Times New Roman" w:hAnsi="Times New Roman" w:eastAsia="仿宋_GB2312" w:cs="Times New Roman"/>
          <w:color w:val="auto"/>
          <w:sz w:val="30"/>
          <w:szCs w:val="30"/>
          <w:highlight w:val="none"/>
          <w:lang w:val="en-US" w:eastAsia="zh-CN"/>
        </w:rPr>
        <w:t>人（其中：外事接待人次</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人）。主要用于</w:t>
      </w:r>
      <w:r>
        <w:rPr>
          <w:rFonts w:hint="default" w:ascii="Times New Roman" w:hAnsi="Times New Roman" w:eastAsia="仿宋_GB2312" w:cs="Times New Roman"/>
          <w:color w:val="auto"/>
          <w:sz w:val="30"/>
          <w:szCs w:val="30"/>
          <w:highlight w:val="none"/>
          <w:lang w:val="en-US" w:eastAsia="zh-CN"/>
        </w:rPr>
        <w:t>上级或其他县份单位来华宁调研等</w:t>
      </w:r>
      <w:r>
        <w:rPr>
          <w:rFonts w:hint="eastAsia" w:ascii="Times New Roman" w:hAnsi="Times New Roman" w:eastAsia="仿宋_GB2312" w:cs="Times New Roman"/>
          <w:color w:val="auto"/>
          <w:sz w:val="30"/>
          <w:szCs w:val="30"/>
          <w:highlight w:val="none"/>
          <w:lang w:val="en-US" w:eastAsia="zh-CN"/>
        </w:rPr>
        <w:t>发生的接待支出。安排国（境）外公务接待</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批次，接待人次</w:t>
      </w:r>
      <w:r>
        <w:rPr>
          <w:rFonts w:hint="eastAsia" w:ascii="Times New Roman" w:hAnsi="Times New Roman" w:eastAsia="仿宋_GB2312" w:cs="Times New Roman"/>
          <w:color w:val="auto"/>
          <w:sz w:val="30"/>
          <w:szCs w:val="30"/>
          <w:highlight w:val="none"/>
          <w:lang w:val="zh-CN" w:eastAsia="zh-CN"/>
        </w:rPr>
        <w:t>0</w:t>
      </w:r>
      <w:r>
        <w:rPr>
          <w:rFonts w:hint="eastAsia" w:ascii="Times New Roman" w:hAnsi="Times New Roman" w:eastAsia="仿宋_GB2312" w:cs="Times New Roman"/>
          <w:color w:val="auto"/>
          <w:sz w:val="30"/>
          <w:szCs w:val="30"/>
          <w:highlight w:val="none"/>
          <w:lang w:val="en-US" w:eastAsia="zh-CN"/>
        </w:rPr>
        <w:t>人。</w:t>
      </w:r>
    </w:p>
    <w:p w14:paraId="317B7076">
      <w:pPr>
        <w:widowControl/>
        <w:snapToGrid w:val="0"/>
        <w:spacing w:before="100" w:after="100" w:line="360" w:lineRule="auto"/>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（三）需要说明的事项</w:t>
      </w:r>
    </w:p>
    <w:p w14:paraId="1DC6385B">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不存在需要说明的事项。</w:t>
      </w:r>
    </w:p>
    <w:p w14:paraId="0B3353D4">
      <w:pPr>
        <w:widowControl/>
        <w:snapToGrid w:val="0"/>
        <w:spacing w:before="100" w:after="100" w:line="360" w:lineRule="auto"/>
        <w:ind w:firstLine="600" w:firstLineChars="200"/>
        <w:jc w:val="left"/>
        <w:rPr>
          <w:rFonts w:hint="eastAsia" w:ascii="仿宋_GB2312" w:eastAsia="仿宋_GB2312"/>
          <w:color w:val="auto"/>
          <w:sz w:val="30"/>
          <w:szCs w:val="30"/>
          <w:highlight w:val="none"/>
          <w:lang w:eastAsia="zh-CN"/>
        </w:rPr>
      </w:pPr>
    </w:p>
    <w:p w14:paraId="4DC76E78">
      <w:pPr>
        <w:widowControl/>
        <w:snapToGrid w:val="0"/>
        <w:spacing w:before="100" w:after="100" w:line="360" w:lineRule="auto"/>
        <w:ind w:firstLine="640" w:firstLineChars="200"/>
        <w:jc w:val="left"/>
        <w:outlineLvl w:val="0"/>
        <w:rPr>
          <w:rFonts w:hint="eastAsia" w:ascii="仿宋_GB2312" w:eastAsia="仿宋_GB2312"/>
          <w:color w:val="auto"/>
          <w:sz w:val="32"/>
          <w:szCs w:val="32"/>
          <w:highlight w:val="none"/>
        </w:rPr>
      </w:pPr>
      <w:r>
        <w:rPr>
          <w:rFonts w:hint="eastAsia" w:ascii="黑体" w:hAnsi="黑体" w:eastAsia="黑体" w:cs="方正小标宋简体"/>
          <w:color w:val="auto"/>
          <w:sz w:val="32"/>
          <w:szCs w:val="32"/>
          <w:highlight w:val="none"/>
        </w:rPr>
        <w:t xml:space="preserve">第四部分  </w:t>
      </w:r>
      <w:r>
        <w:rPr>
          <w:rFonts w:hint="eastAsia" w:ascii="黑体" w:hAnsi="黑体" w:eastAsia="黑体"/>
          <w:color w:val="auto"/>
          <w:sz w:val="32"/>
          <w:szCs w:val="32"/>
          <w:highlight w:val="none"/>
        </w:rPr>
        <w:t>其他重要事项及相关口径情况说明</w:t>
      </w:r>
    </w:p>
    <w:p w14:paraId="2D7DB01F">
      <w:pPr>
        <w:ind w:firstLine="600" w:firstLineChars="200"/>
        <w:jc w:val="left"/>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机关运行经费支出情况</w:t>
      </w:r>
    </w:p>
    <w:p w14:paraId="7CCF55FD">
      <w:pPr>
        <w:widowControl/>
        <w:snapToGrid w:val="0"/>
        <w:spacing w:before="100" w:after="100" w:line="600" w:lineRule="exact"/>
        <w:ind w:firstLine="538"/>
        <w:jc w:val="both"/>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zh-CN" w:eastAsia="zh-CN"/>
        </w:rPr>
        <w:t>中国共产党华宁县委员会组织部</w:t>
      </w:r>
      <w:r>
        <w:rPr>
          <w:rFonts w:hint="eastAsia" w:ascii="Times New Roman" w:hAnsi="Times New Roman" w:eastAsia="仿宋_GB2312" w:cs="Times New Roman"/>
          <w:color w:val="auto"/>
          <w:sz w:val="30"/>
          <w:szCs w:val="30"/>
          <w:highlight w:val="none"/>
          <w:lang w:val="en-US" w:eastAsia="zh-CN"/>
        </w:rPr>
        <w:t>2024</w:t>
      </w:r>
      <w:r>
        <w:rPr>
          <w:rFonts w:hint="eastAsia" w:ascii="Times New Roman" w:hAnsi="Times New Roman" w:eastAsia="仿宋_GB2312" w:cs="Times New Roman"/>
          <w:color w:val="auto"/>
          <w:sz w:val="30"/>
          <w:szCs w:val="30"/>
          <w:highlight w:val="none"/>
          <w:lang w:val="zh-CN" w:eastAsia="zh-CN"/>
        </w:rPr>
        <w:t>年机关运行经费支出</w:t>
      </w:r>
      <w:r>
        <w:rPr>
          <w:rFonts w:hint="eastAsia" w:ascii="Times New Roman" w:hAnsi="Times New Roman" w:eastAsia="仿宋_GB2312" w:cs="Times New Roman"/>
          <w:color w:val="auto"/>
          <w:sz w:val="30"/>
          <w:szCs w:val="30"/>
          <w:highlight w:val="none"/>
          <w:lang w:val="en-US" w:eastAsia="zh-CN"/>
        </w:rPr>
        <w:t>536,466.58</w:t>
      </w:r>
      <w:r>
        <w:rPr>
          <w:rFonts w:hint="eastAsia" w:ascii="Times New Roman" w:hAnsi="Times New Roman" w:eastAsia="仿宋_GB2312" w:cs="Times New Roman"/>
          <w:color w:val="auto"/>
          <w:sz w:val="30"/>
          <w:szCs w:val="30"/>
          <w:highlight w:val="none"/>
          <w:lang w:val="zh-CN" w:eastAsia="zh-CN"/>
        </w:rPr>
        <w:t>元，比上年增加</w:t>
      </w:r>
      <w:r>
        <w:rPr>
          <w:rFonts w:hint="eastAsia" w:ascii="Times New Roman" w:hAnsi="Times New Roman" w:eastAsia="仿宋_GB2312" w:cs="Times New Roman"/>
          <w:color w:val="auto"/>
          <w:sz w:val="30"/>
          <w:szCs w:val="30"/>
          <w:highlight w:val="none"/>
          <w:lang w:val="en-US" w:eastAsia="zh-CN"/>
        </w:rPr>
        <w:t>80,856.06</w:t>
      </w:r>
      <w:r>
        <w:rPr>
          <w:rFonts w:hint="eastAsia" w:ascii="Times New Roman" w:hAnsi="Times New Roman" w:eastAsia="仿宋_GB2312" w:cs="Times New Roman"/>
          <w:color w:val="auto"/>
          <w:sz w:val="30"/>
          <w:szCs w:val="30"/>
          <w:highlight w:val="none"/>
          <w:lang w:val="zh-CN" w:eastAsia="zh-CN"/>
        </w:rPr>
        <w:t>元，增长17.75%,主要原因是</w:t>
      </w:r>
      <w:r>
        <w:rPr>
          <w:rFonts w:hint="default" w:ascii="Times New Roman" w:hAnsi="Times New Roman" w:eastAsia="仿宋_GB2312" w:cs="Times New Roman"/>
          <w:color w:val="auto"/>
          <w:sz w:val="30"/>
          <w:szCs w:val="30"/>
          <w:highlight w:val="none"/>
          <w:lang w:val="zh-CN" w:eastAsia="zh-CN"/>
        </w:rPr>
        <w:t>财政</w:t>
      </w:r>
      <w:r>
        <w:rPr>
          <w:rFonts w:hint="eastAsia" w:ascii="Times New Roman" w:hAnsi="Times New Roman" w:eastAsia="仿宋_GB2312" w:cs="Times New Roman"/>
          <w:color w:val="auto"/>
          <w:sz w:val="30"/>
          <w:szCs w:val="30"/>
          <w:highlight w:val="none"/>
          <w:lang w:val="zh-CN" w:eastAsia="zh-CN"/>
        </w:rPr>
        <w:t>困难</w:t>
      </w:r>
      <w:r>
        <w:rPr>
          <w:rFonts w:hint="default" w:ascii="Times New Roman" w:hAnsi="Times New Roman" w:eastAsia="仿宋_GB2312" w:cs="Times New Roman"/>
          <w:color w:val="auto"/>
          <w:sz w:val="30"/>
          <w:szCs w:val="30"/>
          <w:highlight w:val="none"/>
          <w:lang w:val="zh-CN" w:eastAsia="zh-CN"/>
        </w:rPr>
        <w:t>未能及时拨付。</w:t>
      </w:r>
      <w:r>
        <w:rPr>
          <w:rFonts w:hint="eastAsia" w:ascii="Times New Roman" w:hAnsi="Times New Roman" w:eastAsia="仿宋_GB2312" w:cs="Times New Roman"/>
          <w:color w:val="auto"/>
          <w:sz w:val="30"/>
          <w:szCs w:val="30"/>
          <w:highlight w:val="none"/>
          <w:lang w:val="zh-CN" w:eastAsia="zh-CN"/>
        </w:rPr>
        <w:t>部门机关运行经费主要用于</w:t>
      </w:r>
      <w:r>
        <w:rPr>
          <w:rFonts w:hint="default" w:ascii="Times New Roman" w:hAnsi="Times New Roman" w:eastAsia="仿宋_GB2312" w:cs="Times New Roman"/>
          <w:color w:val="auto"/>
          <w:sz w:val="30"/>
          <w:szCs w:val="30"/>
          <w:highlight w:val="none"/>
          <w:lang w:val="zh-CN" w:eastAsia="zh-CN"/>
        </w:rPr>
        <w:t>办公费</w:t>
      </w:r>
      <w:r>
        <w:rPr>
          <w:rFonts w:hint="eastAsia" w:ascii="Times New Roman" w:hAnsi="Times New Roman" w:eastAsia="仿宋_GB2312" w:cs="Times New Roman"/>
          <w:color w:val="auto"/>
          <w:sz w:val="30"/>
          <w:szCs w:val="30"/>
          <w:highlight w:val="none"/>
          <w:lang w:val="en-US" w:eastAsia="zh-CN"/>
        </w:rPr>
        <w:t>242,011.51</w:t>
      </w:r>
      <w:r>
        <w:rPr>
          <w:rFonts w:hint="default" w:ascii="Times New Roman" w:hAnsi="Times New Roman" w:eastAsia="仿宋_GB2312" w:cs="Times New Roman"/>
          <w:color w:val="auto"/>
          <w:sz w:val="30"/>
          <w:szCs w:val="30"/>
          <w:highlight w:val="none"/>
          <w:lang w:val="en-US" w:eastAsia="zh-CN"/>
        </w:rPr>
        <w:t>元，</w:t>
      </w:r>
      <w:r>
        <w:rPr>
          <w:rFonts w:hint="eastAsia" w:ascii="Times New Roman" w:hAnsi="Times New Roman" w:eastAsia="仿宋_GB2312" w:cs="Times New Roman"/>
          <w:color w:val="auto"/>
          <w:sz w:val="30"/>
          <w:szCs w:val="30"/>
          <w:highlight w:val="none"/>
          <w:lang w:val="en-US" w:eastAsia="zh-CN"/>
        </w:rPr>
        <w:t>邮电费6,000.00元，</w:t>
      </w:r>
      <w:r>
        <w:rPr>
          <w:rFonts w:hint="default" w:ascii="Times New Roman" w:hAnsi="Times New Roman" w:eastAsia="仿宋_GB2312" w:cs="Times New Roman"/>
          <w:color w:val="auto"/>
          <w:sz w:val="30"/>
          <w:szCs w:val="30"/>
          <w:highlight w:val="none"/>
          <w:lang w:val="en-US" w:eastAsia="zh-CN"/>
        </w:rPr>
        <w:t>会议费19</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742.5</w:t>
      </w:r>
      <w:r>
        <w:rPr>
          <w:rFonts w:hint="eastAsia" w:ascii="Times New Roman" w:hAnsi="Times New Roman" w:eastAsia="仿宋_GB2312" w:cs="Times New Roman"/>
          <w:color w:val="auto"/>
          <w:sz w:val="30"/>
          <w:szCs w:val="30"/>
          <w:highlight w:val="none"/>
          <w:lang w:val="en-US" w:eastAsia="zh-CN"/>
        </w:rPr>
        <w:t>0元，</w:t>
      </w:r>
      <w:r>
        <w:rPr>
          <w:rFonts w:hint="default" w:ascii="Times New Roman" w:hAnsi="Times New Roman" w:eastAsia="仿宋_GB2312" w:cs="Times New Roman"/>
          <w:color w:val="auto"/>
          <w:sz w:val="30"/>
          <w:szCs w:val="30"/>
          <w:highlight w:val="none"/>
          <w:lang w:val="en-US" w:eastAsia="zh-CN"/>
        </w:rPr>
        <w:t>培训费29</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732</w:t>
      </w:r>
      <w:r>
        <w:rPr>
          <w:rFonts w:hint="eastAsia" w:ascii="Times New Roman" w:hAnsi="Times New Roman" w:eastAsia="仿宋_GB2312" w:cs="Times New Roman"/>
          <w:color w:val="auto"/>
          <w:sz w:val="30"/>
          <w:szCs w:val="30"/>
          <w:highlight w:val="none"/>
          <w:lang w:val="en-US" w:eastAsia="zh-CN"/>
        </w:rPr>
        <w:t>.00元，</w:t>
      </w:r>
      <w:r>
        <w:rPr>
          <w:rFonts w:hint="default" w:ascii="Times New Roman" w:hAnsi="Times New Roman" w:eastAsia="仿宋_GB2312" w:cs="Times New Roman"/>
          <w:color w:val="auto"/>
          <w:sz w:val="30"/>
          <w:szCs w:val="30"/>
          <w:highlight w:val="none"/>
          <w:lang w:val="en-US" w:eastAsia="zh-CN"/>
        </w:rPr>
        <w:t>公务接待费10</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431</w:t>
      </w:r>
      <w:r>
        <w:rPr>
          <w:rFonts w:hint="eastAsia" w:ascii="Times New Roman" w:hAnsi="Times New Roman" w:eastAsia="仿宋_GB2312" w:cs="Times New Roman"/>
          <w:color w:val="auto"/>
          <w:sz w:val="30"/>
          <w:szCs w:val="30"/>
          <w:highlight w:val="none"/>
          <w:lang w:val="en-US" w:eastAsia="zh-CN"/>
        </w:rPr>
        <w:t>.00元，劳务费29,100.00元，</w:t>
      </w:r>
      <w:r>
        <w:rPr>
          <w:rFonts w:hint="default" w:ascii="Times New Roman" w:hAnsi="Times New Roman" w:eastAsia="仿宋_GB2312" w:cs="Times New Roman"/>
          <w:color w:val="auto"/>
          <w:sz w:val="30"/>
          <w:szCs w:val="30"/>
          <w:highlight w:val="none"/>
          <w:lang w:val="en-US" w:eastAsia="zh-CN"/>
        </w:rPr>
        <w:t>工会经费</w:t>
      </w:r>
      <w:r>
        <w:rPr>
          <w:rFonts w:hint="eastAsia" w:ascii="Times New Roman" w:hAnsi="Times New Roman" w:eastAsia="仿宋_GB2312" w:cs="Times New Roman"/>
          <w:color w:val="auto"/>
          <w:sz w:val="30"/>
          <w:szCs w:val="30"/>
          <w:highlight w:val="none"/>
          <w:lang w:val="en-US" w:eastAsia="zh-CN"/>
        </w:rPr>
        <w:t>22,000.00元，公务用车运行维护费11,999.57元，其他交通费用165,450.00元。</w:t>
      </w:r>
    </w:p>
    <w:p w14:paraId="20732753">
      <w:pPr>
        <w:widowControl/>
        <w:numPr>
          <w:ilvl w:val="0"/>
          <w:numId w:val="0"/>
        </w:numPr>
        <w:ind w:left="420" w:leftChars="200"/>
        <w:outlineLvl w:val="1"/>
        <w:rPr>
          <w:rFonts w:hint="eastAsia"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lang w:eastAsia="zh-CN"/>
        </w:rPr>
        <w:t>二、</w:t>
      </w:r>
      <w:r>
        <w:rPr>
          <w:rFonts w:hint="eastAsia" w:ascii="黑体" w:hAnsi="黑体" w:eastAsia="黑体" w:cs="黑体"/>
          <w:color w:val="auto"/>
          <w:kern w:val="0"/>
          <w:sz w:val="30"/>
          <w:szCs w:val="30"/>
          <w:highlight w:val="none"/>
        </w:rPr>
        <w:t>国有资产占用情况</w:t>
      </w:r>
    </w:p>
    <w:p w14:paraId="7E0F4CC3">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zh-CN" w:eastAsia="zh-CN"/>
        </w:rPr>
        <w:t>截至2024年末，中国共产党华宁县委员会组织部资产总额</w:t>
      </w:r>
      <w:r>
        <w:rPr>
          <w:rFonts w:hint="default" w:ascii="Times New Roman" w:hAnsi="Times New Roman" w:eastAsia="仿宋_GB2312" w:cs="Times New Roman"/>
          <w:color w:val="auto"/>
          <w:sz w:val="30"/>
          <w:szCs w:val="30"/>
          <w:highlight w:val="none"/>
          <w:lang w:val="en-US" w:eastAsia="zh-CN"/>
        </w:rPr>
        <w:t>1,930,320.99</w:t>
      </w:r>
      <w:r>
        <w:rPr>
          <w:rFonts w:hint="eastAsia" w:ascii="Times New Roman" w:hAnsi="Times New Roman" w:eastAsia="仿宋_GB2312" w:cs="Times New Roman"/>
          <w:color w:val="auto"/>
          <w:sz w:val="30"/>
          <w:szCs w:val="30"/>
          <w:highlight w:val="none"/>
          <w:lang w:val="zh-CN" w:eastAsia="zh-CN"/>
        </w:rPr>
        <w:t>元，其中，流动资产</w:t>
      </w:r>
      <w:r>
        <w:rPr>
          <w:rFonts w:hint="default" w:ascii="Times New Roman" w:hAnsi="Times New Roman" w:eastAsia="仿宋_GB2312" w:cs="Times New Roman"/>
          <w:color w:val="auto"/>
          <w:sz w:val="30"/>
          <w:szCs w:val="30"/>
          <w:highlight w:val="none"/>
          <w:lang w:val="en-US" w:eastAsia="zh-CN"/>
        </w:rPr>
        <w:t>137,865.77</w:t>
      </w:r>
      <w:r>
        <w:rPr>
          <w:rFonts w:hint="eastAsia" w:ascii="Times New Roman" w:hAnsi="Times New Roman" w:eastAsia="仿宋_GB2312" w:cs="Times New Roman"/>
          <w:color w:val="auto"/>
          <w:sz w:val="30"/>
          <w:szCs w:val="30"/>
          <w:highlight w:val="none"/>
          <w:lang w:val="zh-CN" w:eastAsia="zh-CN"/>
        </w:rPr>
        <w:t>元，固定资产</w:t>
      </w:r>
      <w:r>
        <w:rPr>
          <w:rFonts w:hint="default" w:ascii="Times New Roman" w:hAnsi="Times New Roman" w:eastAsia="仿宋_GB2312" w:cs="Times New Roman"/>
          <w:color w:val="auto"/>
          <w:sz w:val="30"/>
          <w:szCs w:val="30"/>
          <w:highlight w:val="none"/>
          <w:lang w:val="en-US" w:eastAsia="zh-CN"/>
        </w:rPr>
        <w:t>1,792,455.22</w:t>
      </w:r>
      <w:r>
        <w:rPr>
          <w:rFonts w:hint="eastAsia" w:ascii="Times New Roman" w:hAnsi="Times New Roman" w:eastAsia="仿宋_GB2312" w:cs="Times New Roman"/>
          <w:color w:val="auto"/>
          <w:sz w:val="30"/>
          <w:szCs w:val="30"/>
          <w:highlight w:val="none"/>
          <w:lang w:val="zh-CN" w:eastAsia="zh-CN"/>
        </w:rPr>
        <w:t>元（净值），对外投资及有价证券</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元，在建工程</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元，无形资产</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元（净值），其他资产</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元（净值）（具体内容详见附表）。与上年相比，本年资产总额增加</w:t>
      </w:r>
      <w:r>
        <w:rPr>
          <w:rFonts w:hint="eastAsia" w:ascii="Times New Roman" w:hAnsi="Times New Roman" w:eastAsia="仿宋_GB2312" w:cs="Times New Roman"/>
          <w:color w:val="auto"/>
          <w:sz w:val="30"/>
          <w:szCs w:val="30"/>
          <w:highlight w:val="none"/>
          <w:lang w:val="en-US" w:eastAsia="zh-CN"/>
        </w:rPr>
        <w:t>67,579.59</w:t>
      </w:r>
      <w:r>
        <w:rPr>
          <w:rFonts w:hint="eastAsia" w:ascii="Times New Roman" w:hAnsi="Times New Roman" w:eastAsia="仿宋_GB2312" w:cs="Times New Roman"/>
          <w:color w:val="auto"/>
          <w:sz w:val="30"/>
          <w:szCs w:val="30"/>
          <w:highlight w:val="none"/>
          <w:lang w:val="zh-CN" w:eastAsia="zh-CN"/>
        </w:rPr>
        <w:t>元，其中固定资产减少</w:t>
      </w:r>
      <w:r>
        <w:rPr>
          <w:rFonts w:hint="eastAsia" w:ascii="Times New Roman" w:hAnsi="Times New Roman" w:eastAsia="仿宋_GB2312" w:cs="Times New Roman"/>
          <w:color w:val="auto"/>
          <w:sz w:val="30"/>
          <w:szCs w:val="30"/>
          <w:highlight w:val="none"/>
          <w:lang w:val="en-US" w:eastAsia="zh-CN"/>
        </w:rPr>
        <w:t>10,394.09</w:t>
      </w:r>
      <w:r>
        <w:rPr>
          <w:rFonts w:hint="eastAsia" w:ascii="Times New Roman" w:hAnsi="Times New Roman" w:eastAsia="仿宋_GB2312" w:cs="Times New Roman"/>
          <w:color w:val="auto"/>
          <w:sz w:val="30"/>
          <w:szCs w:val="30"/>
          <w:highlight w:val="none"/>
          <w:lang w:val="zh-CN" w:eastAsia="zh-CN"/>
        </w:rPr>
        <w:t>元。处置房屋建筑物</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平方米，账面原值</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元；处置车辆</w:t>
      </w:r>
      <w:r>
        <w:rPr>
          <w:rFonts w:hint="eastAsia" w:ascii="Times New Roman" w:hAnsi="Times New Roman" w:eastAsia="仿宋_GB2312" w:cs="Times New Roman"/>
          <w:color w:val="auto"/>
          <w:sz w:val="30"/>
          <w:szCs w:val="30"/>
          <w:highlight w:val="none"/>
          <w:lang w:val="en-US" w:eastAsia="zh-CN"/>
        </w:rPr>
        <w:t>0</w:t>
      </w:r>
      <w:r>
        <w:rPr>
          <w:rFonts w:hint="eastAsia" w:ascii="Times New Roman" w:hAnsi="Times New Roman" w:eastAsia="仿宋_GB2312" w:cs="Times New Roman"/>
          <w:color w:val="auto"/>
          <w:sz w:val="30"/>
          <w:szCs w:val="30"/>
          <w:highlight w:val="none"/>
          <w:lang w:val="zh-CN" w:eastAsia="zh-CN"/>
        </w:rPr>
        <w:t>辆，账面原值</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元；报废报损资产</w:t>
      </w:r>
      <w:r>
        <w:rPr>
          <w:rFonts w:hint="eastAsia" w:ascii="Times New Roman" w:hAnsi="Times New Roman" w:eastAsia="仿宋_GB2312" w:cs="Times New Roman"/>
          <w:color w:val="auto"/>
          <w:sz w:val="30"/>
          <w:szCs w:val="30"/>
          <w:highlight w:val="none"/>
          <w:lang w:val="en-US" w:eastAsia="zh-CN"/>
        </w:rPr>
        <w:t>0</w:t>
      </w:r>
      <w:r>
        <w:rPr>
          <w:rFonts w:hint="eastAsia" w:ascii="Times New Roman" w:hAnsi="Times New Roman" w:eastAsia="仿宋_GB2312" w:cs="Times New Roman"/>
          <w:color w:val="auto"/>
          <w:sz w:val="30"/>
          <w:szCs w:val="30"/>
          <w:highlight w:val="none"/>
          <w:lang w:val="zh-CN" w:eastAsia="zh-CN"/>
        </w:rPr>
        <w:t>项，账面原值</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元，实现资产处置收入</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元；出租房屋</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平方米，账面原值</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元，实现资产使用收入</w:t>
      </w:r>
      <w:r>
        <w:rPr>
          <w:rFonts w:hint="eastAsia" w:ascii="Times New Roman" w:hAnsi="Times New Roman" w:eastAsia="仿宋_GB2312" w:cs="Times New Roman"/>
          <w:color w:val="auto"/>
          <w:sz w:val="30"/>
          <w:szCs w:val="30"/>
          <w:highlight w:val="none"/>
          <w:lang w:val="en-US" w:eastAsia="zh-CN"/>
        </w:rPr>
        <w:t>0.00</w:t>
      </w:r>
      <w:r>
        <w:rPr>
          <w:rFonts w:hint="eastAsia" w:ascii="Times New Roman" w:hAnsi="Times New Roman" w:eastAsia="仿宋_GB2312" w:cs="Times New Roman"/>
          <w:color w:val="auto"/>
          <w:sz w:val="30"/>
          <w:szCs w:val="30"/>
          <w:highlight w:val="none"/>
          <w:lang w:val="zh-CN" w:eastAsia="zh-CN"/>
        </w:rPr>
        <w:t>元。</w:t>
      </w:r>
    </w:p>
    <w:p w14:paraId="5CFB0F06">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zh-CN" w:eastAsia="zh-CN"/>
        </w:rPr>
      </w:pPr>
      <w:r>
        <w:rPr>
          <w:rFonts w:hint="eastAsia" w:ascii="Times New Roman" w:hAnsi="Times New Roman" w:eastAsia="仿宋_GB2312" w:cs="Times New Roman"/>
          <w:color w:val="auto"/>
          <w:sz w:val="30"/>
          <w:szCs w:val="30"/>
          <w:highlight w:val="none"/>
          <w:lang w:val="zh-CN" w:eastAsia="zh-CN"/>
        </w:rPr>
        <w:t>（国有资产占有使用情况表详见附表）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2E3895FA">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42B57CFA">
            <w:pPr>
              <w:widowControl/>
              <w:jc w:val="left"/>
              <w:rPr>
                <w:rFonts w:ascii="宋体" w:hAnsi="宋体" w:cs="宋体"/>
                <w:color w:val="auto"/>
                <w:kern w:val="0"/>
                <w:sz w:val="17"/>
                <w:szCs w:val="17"/>
                <w:highlight w:val="none"/>
              </w:rPr>
            </w:pPr>
          </w:p>
        </w:tc>
      </w:tr>
      <w:tr w14:paraId="0CFA176D">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165C2D4E">
            <w:pPr>
              <w:widowControl/>
              <w:jc w:val="left"/>
              <w:rPr>
                <w:rFonts w:ascii="宋体" w:hAnsi="宋体" w:cs="宋体"/>
                <w:color w:val="auto"/>
                <w:kern w:val="0"/>
                <w:sz w:val="17"/>
                <w:szCs w:val="17"/>
                <w:highlight w:val="none"/>
              </w:rPr>
            </w:pPr>
          </w:p>
        </w:tc>
      </w:tr>
      <w:tr w14:paraId="2598B913">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68044D23">
            <w:pPr>
              <w:widowControl/>
              <w:jc w:val="left"/>
              <w:rPr>
                <w:rFonts w:ascii="宋体" w:hAnsi="宋体" w:cs="宋体"/>
                <w:color w:val="auto"/>
                <w:kern w:val="0"/>
                <w:sz w:val="17"/>
                <w:szCs w:val="17"/>
                <w:highlight w:val="none"/>
              </w:rPr>
            </w:pPr>
          </w:p>
        </w:tc>
      </w:tr>
      <w:tr w14:paraId="36ABE3F4">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2B73F115">
            <w:pPr>
              <w:widowControl/>
              <w:jc w:val="left"/>
              <w:rPr>
                <w:rFonts w:ascii="宋体" w:hAnsi="宋体" w:cs="宋体"/>
                <w:color w:val="auto"/>
                <w:kern w:val="0"/>
                <w:sz w:val="17"/>
                <w:szCs w:val="17"/>
                <w:highlight w:val="none"/>
              </w:rPr>
            </w:pPr>
          </w:p>
        </w:tc>
      </w:tr>
      <w:tr w14:paraId="42302F4A">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74F78E39">
            <w:pPr>
              <w:widowControl/>
              <w:jc w:val="left"/>
              <w:rPr>
                <w:rFonts w:ascii="宋体" w:hAnsi="宋体" w:cs="宋体"/>
                <w:color w:val="auto"/>
                <w:kern w:val="0"/>
                <w:sz w:val="17"/>
                <w:szCs w:val="17"/>
                <w:highlight w:val="none"/>
              </w:rPr>
            </w:pPr>
          </w:p>
        </w:tc>
      </w:tr>
      <w:tr w14:paraId="73D6BE69">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2E2D8403">
            <w:pPr>
              <w:widowControl/>
              <w:jc w:val="left"/>
              <w:rPr>
                <w:rFonts w:ascii="宋体" w:hAnsi="宋体" w:cs="宋体"/>
                <w:color w:val="auto"/>
                <w:kern w:val="0"/>
                <w:sz w:val="17"/>
                <w:szCs w:val="17"/>
                <w:highlight w:val="none"/>
              </w:rPr>
            </w:pPr>
          </w:p>
        </w:tc>
      </w:tr>
      <w:tr w14:paraId="62CA4F23">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7CF6A5F4">
            <w:pPr>
              <w:widowControl/>
              <w:jc w:val="left"/>
              <w:rPr>
                <w:rFonts w:ascii="宋体" w:hAnsi="宋体" w:cs="宋体"/>
                <w:color w:val="auto"/>
                <w:kern w:val="0"/>
                <w:sz w:val="17"/>
                <w:szCs w:val="17"/>
                <w:highlight w:val="none"/>
              </w:rPr>
            </w:pPr>
          </w:p>
        </w:tc>
      </w:tr>
      <w:tr w14:paraId="4347E0E5">
        <w:tblPrEx>
          <w:tblCellMar>
            <w:top w:w="0" w:type="dxa"/>
            <w:left w:w="0" w:type="dxa"/>
            <w:bottom w:w="0" w:type="dxa"/>
            <w:right w:w="0" w:type="dxa"/>
          </w:tblCellMar>
        </w:tblPrEx>
        <w:trPr>
          <w:trHeight w:val="495" w:hRule="atLeast"/>
        </w:trPr>
        <w:tc>
          <w:tcPr>
            <w:tcW w:w="142" w:type="dxa"/>
            <w:noWrap w:val="0"/>
            <w:vAlign w:val="center"/>
          </w:tcPr>
          <w:p w14:paraId="48A0A457">
            <w:pPr>
              <w:widowControl/>
              <w:jc w:val="left"/>
              <w:rPr>
                <w:rFonts w:ascii="Times New Roman" w:hAnsi="Times New Roman" w:eastAsia="Times New Roman"/>
                <w:color w:val="auto"/>
                <w:kern w:val="0"/>
                <w:sz w:val="20"/>
                <w:szCs w:val="20"/>
                <w:highlight w:val="none"/>
              </w:rPr>
            </w:pPr>
          </w:p>
        </w:tc>
      </w:tr>
    </w:tbl>
    <w:p w14:paraId="4D3CB988">
      <w:pPr>
        <w:widowControl/>
        <w:ind w:firstLine="600" w:firstLineChars="200"/>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三、政</w:t>
      </w:r>
      <w:r>
        <w:rPr>
          <w:rFonts w:hint="eastAsia" w:ascii="黑体" w:hAnsi="黑体" w:eastAsia="黑体" w:cs="黑体"/>
          <w:color w:val="auto"/>
          <w:sz w:val="30"/>
          <w:szCs w:val="30"/>
          <w:highlight w:val="none"/>
        </w:rPr>
        <w:t>府采购支出情况</w:t>
      </w:r>
    </w:p>
    <w:p w14:paraId="361FF2E6">
      <w:pPr>
        <w:widowControl/>
        <w:snapToGrid w:val="0"/>
        <w:spacing w:before="100" w:after="100" w:line="600" w:lineRule="exact"/>
        <w:ind w:firstLine="538"/>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2024年度，部门政府采购支出总额127,547</w:t>
      </w:r>
      <w:r>
        <w:rPr>
          <w:rFonts w:hint="eastAsia" w:ascii="Times New Roman" w:hAnsi="Times New Roman" w:eastAsia="仿宋_GB2312" w:cs="Times New Roman"/>
          <w:color w:val="auto"/>
          <w:sz w:val="30"/>
          <w:szCs w:val="30"/>
          <w:highlight w:val="none"/>
          <w:lang w:val="zh-CN" w:eastAsia="zh-CN"/>
        </w:rPr>
        <w:t>.00</w:t>
      </w:r>
      <w:r>
        <w:rPr>
          <w:rFonts w:hint="eastAsia" w:ascii="Times New Roman" w:hAnsi="Times New Roman" w:eastAsia="仿宋_GB2312" w:cs="Times New Roman"/>
          <w:color w:val="auto"/>
          <w:sz w:val="30"/>
          <w:szCs w:val="30"/>
          <w:highlight w:val="none"/>
          <w:lang w:val="en-US" w:eastAsia="zh-CN"/>
        </w:rPr>
        <w:t>元，其中：政府采购货物支出127,547</w:t>
      </w:r>
      <w:r>
        <w:rPr>
          <w:rFonts w:hint="eastAsia" w:ascii="Times New Roman" w:hAnsi="Times New Roman" w:eastAsia="仿宋_GB2312" w:cs="Times New Roman"/>
          <w:color w:val="auto"/>
          <w:sz w:val="30"/>
          <w:szCs w:val="30"/>
          <w:highlight w:val="none"/>
          <w:lang w:val="zh-CN" w:eastAsia="zh-CN"/>
        </w:rPr>
        <w:t>.00</w:t>
      </w:r>
      <w:r>
        <w:rPr>
          <w:rFonts w:hint="eastAsia" w:ascii="Times New Roman" w:hAnsi="Times New Roman" w:eastAsia="仿宋_GB2312" w:cs="Times New Roman"/>
          <w:color w:val="auto"/>
          <w:sz w:val="30"/>
          <w:szCs w:val="30"/>
          <w:highlight w:val="none"/>
          <w:lang w:val="en-US" w:eastAsia="zh-CN"/>
        </w:rPr>
        <w:t>元；政府采购工程支出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元；政府采购服务支出</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元。授予中小企业合同金额</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元，其中：授予小微企业合同金额</w:t>
      </w:r>
      <w:r>
        <w:rPr>
          <w:rFonts w:hint="eastAsia" w:ascii="Times New Roman" w:hAnsi="Times New Roman" w:eastAsia="仿宋_GB2312" w:cs="Times New Roman"/>
          <w:color w:val="auto"/>
          <w:sz w:val="30"/>
          <w:szCs w:val="30"/>
          <w:highlight w:val="none"/>
          <w:lang w:val="zh-CN" w:eastAsia="zh-CN"/>
        </w:rPr>
        <w:t>0.00</w:t>
      </w:r>
      <w:r>
        <w:rPr>
          <w:rFonts w:hint="eastAsia" w:ascii="Times New Roman" w:hAnsi="Times New Roman" w:eastAsia="仿宋_GB2312" w:cs="Times New Roman"/>
          <w:color w:val="auto"/>
          <w:sz w:val="30"/>
          <w:szCs w:val="30"/>
          <w:highlight w:val="none"/>
          <w:lang w:val="en-US" w:eastAsia="zh-CN"/>
        </w:rPr>
        <w:t>元。</w:t>
      </w:r>
    </w:p>
    <w:p w14:paraId="3015CFAC">
      <w:pPr>
        <w:widowControl/>
        <w:ind w:firstLine="600" w:firstLineChars="200"/>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四、部门绩效自评情况</w:t>
      </w:r>
    </w:p>
    <w:p w14:paraId="5A5AADC2">
      <w:pPr>
        <w:pStyle w:val="10"/>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方正楷体_GBK" w:cs="Times New Roman"/>
          <w:color w:val="auto"/>
          <w:sz w:val="30"/>
          <w:szCs w:val="30"/>
          <w:lang w:val="en-US" w:eastAsia="zh-CN"/>
        </w:rPr>
      </w:pPr>
      <w:r>
        <w:rPr>
          <w:rFonts w:hint="default" w:ascii="Times New Roman" w:hAnsi="Times New Roman" w:eastAsia="方正楷体_GBK" w:cs="Times New Roman"/>
          <w:color w:val="auto"/>
          <w:sz w:val="30"/>
          <w:szCs w:val="30"/>
          <w:lang w:val="en-US"/>
        </w:rPr>
        <w:t>（一）</w:t>
      </w:r>
      <w:r>
        <w:rPr>
          <w:rFonts w:hint="default" w:ascii="Times New Roman" w:hAnsi="Times New Roman" w:eastAsia="方正楷体_GBK" w:cs="Times New Roman"/>
          <w:color w:val="auto"/>
          <w:sz w:val="30"/>
          <w:szCs w:val="30"/>
          <w:lang w:val="en-US" w:eastAsia="zh-CN"/>
        </w:rPr>
        <w:t>部门整体支出绩效自评情况</w:t>
      </w:r>
    </w:p>
    <w:p w14:paraId="48572E76">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 w:cs="Times New Roman"/>
          <w:color w:val="auto"/>
          <w:sz w:val="30"/>
          <w:lang w:val="en-US" w:eastAsia="zh-CN"/>
        </w:rPr>
      </w:pPr>
      <w:r>
        <w:rPr>
          <w:rFonts w:hint="default" w:ascii="Times New Roman" w:hAnsi="Times New Roman" w:eastAsia="仿宋" w:cs="Times New Roman"/>
          <w:color w:val="auto"/>
          <w:sz w:val="30"/>
          <w:lang w:val="en-US" w:eastAsia="zh-CN"/>
        </w:rPr>
        <w:t>部门整体支出绩效自评情况详见公开表13表。</w:t>
      </w:r>
    </w:p>
    <w:p w14:paraId="4A74C61B">
      <w:pPr>
        <w:pStyle w:val="10"/>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方正楷体_GBK" w:cs="Times New Roman"/>
          <w:color w:val="auto"/>
          <w:sz w:val="30"/>
          <w:szCs w:val="30"/>
          <w:lang w:val="en-US"/>
        </w:rPr>
      </w:pPr>
      <w:r>
        <w:rPr>
          <w:rFonts w:hint="default" w:ascii="Times New Roman" w:hAnsi="Times New Roman" w:eastAsia="方正楷体_GBK" w:cs="Times New Roman"/>
          <w:color w:val="auto"/>
          <w:sz w:val="30"/>
          <w:szCs w:val="30"/>
          <w:lang w:val="en-US"/>
        </w:rPr>
        <w:t>（</w:t>
      </w:r>
      <w:r>
        <w:rPr>
          <w:rFonts w:hint="default" w:ascii="Times New Roman" w:hAnsi="Times New Roman" w:eastAsia="方正楷体_GBK" w:cs="Times New Roman"/>
          <w:color w:val="auto"/>
          <w:sz w:val="30"/>
          <w:szCs w:val="30"/>
          <w:lang w:val="en-US" w:eastAsia="zh-CN"/>
        </w:rPr>
        <w:t>二</w:t>
      </w:r>
      <w:r>
        <w:rPr>
          <w:rFonts w:hint="default" w:ascii="Times New Roman" w:hAnsi="Times New Roman" w:eastAsia="方正楷体_GBK" w:cs="Times New Roman"/>
          <w:color w:val="auto"/>
          <w:sz w:val="30"/>
          <w:szCs w:val="30"/>
          <w:lang w:val="en-US"/>
        </w:rPr>
        <w:t>）</w:t>
      </w:r>
      <w:r>
        <w:rPr>
          <w:rFonts w:hint="default" w:ascii="Times New Roman" w:hAnsi="Times New Roman" w:eastAsia="方正楷体_GBK" w:cs="Times New Roman"/>
          <w:color w:val="auto"/>
          <w:sz w:val="30"/>
          <w:szCs w:val="30"/>
          <w:lang w:val="en-US" w:eastAsia="zh-CN"/>
        </w:rPr>
        <w:t>部门整体支出绩效自评表</w:t>
      </w:r>
    </w:p>
    <w:p w14:paraId="1C163356">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eastAsia="zh-CN"/>
        </w:rPr>
        <w:t>部门整体支出绩效自评表详见公开表14表。</w:t>
      </w:r>
    </w:p>
    <w:p w14:paraId="4C0A4B24">
      <w:pPr>
        <w:pStyle w:val="10"/>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default" w:ascii="Times New Roman" w:hAnsi="Times New Roman" w:eastAsia="方正楷体_GBK" w:cs="Times New Roman"/>
          <w:color w:val="auto"/>
          <w:sz w:val="30"/>
          <w:szCs w:val="30"/>
          <w:lang w:val="en-US" w:eastAsia="zh-CN"/>
        </w:rPr>
      </w:pPr>
      <w:r>
        <w:rPr>
          <w:rFonts w:hint="default" w:ascii="Times New Roman" w:hAnsi="Times New Roman" w:eastAsia="方正楷体_GBK" w:cs="Times New Roman"/>
          <w:color w:val="auto"/>
          <w:sz w:val="30"/>
          <w:szCs w:val="30"/>
          <w:lang w:val="en-US"/>
        </w:rPr>
        <w:t>（</w:t>
      </w:r>
      <w:r>
        <w:rPr>
          <w:rFonts w:hint="default" w:ascii="Times New Roman" w:hAnsi="Times New Roman" w:eastAsia="方正楷体_GBK" w:cs="Times New Roman"/>
          <w:color w:val="auto"/>
          <w:sz w:val="30"/>
          <w:szCs w:val="30"/>
          <w:lang w:val="en-US" w:eastAsia="zh-CN"/>
        </w:rPr>
        <w:t>三</w:t>
      </w:r>
      <w:r>
        <w:rPr>
          <w:rFonts w:hint="default" w:ascii="Times New Roman" w:hAnsi="Times New Roman" w:eastAsia="方正楷体_GBK" w:cs="Times New Roman"/>
          <w:color w:val="auto"/>
          <w:sz w:val="30"/>
          <w:szCs w:val="30"/>
          <w:lang w:val="en-US"/>
        </w:rPr>
        <w:t>）</w:t>
      </w:r>
      <w:r>
        <w:rPr>
          <w:rFonts w:hint="default" w:ascii="Times New Roman" w:hAnsi="Times New Roman" w:eastAsia="方正楷体_GBK" w:cs="Times New Roman"/>
          <w:color w:val="auto"/>
          <w:sz w:val="30"/>
          <w:szCs w:val="30"/>
          <w:lang w:val="en-US" w:eastAsia="zh-CN"/>
        </w:rPr>
        <w:t>项目支出绩效自评表</w:t>
      </w:r>
    </w:p>
    <w:p w14:paraId="5FB4A6DC">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 w:cs="Times New Roman"/>
          <w:color w:val="auto"/>
          <w:sz w:val="30"/>
          <w:lang w:val="en-US" w:eastAsia="zh-CN"/>
        </w:rPr>
      </w:pPr>
      <w:r>
        <w:rPr>
          <w:rFonts w:hint="default" w:ascii="Times New Roman" w:hAnsi="Times New Roman" w:eastAsia="仿宋" w:cs="Times New Roman"/>
          <w:color w:val="auto"/>
          <w:sz w:val="30"/>
          <w:lang w:val="en-US" w:eastAsia="zh-CN"/>
        </w:rPr>
        <w:t>项目支出绩效自评表详见公开表15表—3</w:t>
      </w:r>
      <w:r>
        <w:rPr>
          <w:rFonts w:hint="eastAsia" w:eastAsia="仿宋" w:cs="Times New Roman"/>
          <w:color w:val="auto"/>
          <w:sz w:val="30"/>
          <w:lang w:val="en-US" w:eastAsia="zh-CN"/>
        </w:rPr>
        <w:t>3</w:t>
      </w:r>
      <w:bookmarkStart w:id="4" w:name="_GoBack"/>
      <w:bookmarkEnd w:id="4"/>
      <w:r>
        <w:rPr>
          <w:rFonts w:hint="default" w:ascii="Times New Roman" w:hAnsi="Times New Roman" w:eastAsia="仿宋" w:cs="Times New Roman"/>
          <w:color w:val="auto"/>
          <w:sz w:val="30"/>
          <w:lang w:val="en-US" w:eastAsia="zh-CN"/>
        </w:rPr>
        <w:t>表。</w:t>
      </w:r>
    </w:p>
    <w:p w14:paraId="5682B437">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五、其他重要事项情况说明</w:t>
      </w:r>
    </w:p>
    <w:p w14:paraId="29D0F61F">
      <w:pPr>
        <w:widowControl/>
        <w:snapToGrid w:val="0"/>
        <w:spacing w:before="100" w:after="100" w:line="360" w:lineRule="auto"/>
        <w:ind w:firstLine="640" w:firstLineChars="200"/>
        <w:jc w:val="left"/>
        <w:outlineLvl w:val="1"/>
        <w:rPr>
          <w:rFonts w:hint="eastAsia" w:ascii="仿宋_GB2312" w:hAnsi="黑体" w:eastAsia="仿宋_GB2312" w:cs="方正小标宋简体"/>
          <w:color w:val="auto"/>
          <w:sz w:val="30"/>
          <w:szCs w:val="30"/>
          <w:highlight w:val="none"/>
        </w:rPr>
      </w:pPr>
      <w:r>
        <w:rPr>
          <w:rFonts w:hint="default" w:ascii="Times New Roman" w:hAnsi="Times New Roman" w:eastAsia="方正仿宋_GBK" w:cs="Times New Roman"/>
          <w:color w:val="auto"/>
          <w:sz w:val="32"/>
          <w:szCs w:val="32"/>
        </w:rPr>
        <w:t>我单位无其他重要事项情况说明。</w:t>
      </w:r>
    </w:p>
    <w:p w14:paraId="60247E03">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六、相关口径说明</w:t>
      </w:r>
    </w:p>
    <w:p w14:paraId="0E835384">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（一）</w:t>
      </w:r>
      <w:r>
        <w:rPr>
          <w:rFonts w:hint="eastAsia" w:ascii="仿宋_GB2312" w:hAnsi="黑体" w:eastAsia="仿宋_GB2312" w:cs="方正小标宋简体"/>
          <w:color w:val="auto"/>
          <w:sz w:val="30"/>
          <w:szCs w:val="30"/>
          <w:highlight w:val="none"/>
        </w:rPr>
        <w:t>基本支出中人员经费包括工资福利支出和对个人和家庭的补助，公用</w:t>
      </w:r>
      <w:r>
        <w:rPr>
          <w:rFonts w:hint="eastAsia" w:ascii="仿宋_GB2312" w:hAnsi="黑体" w:eastAsia="仿宋_GB2312" w:cs="方正小标宋简体"/>
          <w:color w:val="auto"/>
          <w:sz w:val="30"/>
          <w:szCs w:val="30"/>
          <w:highlight w:val="none"/>
          <w:lang w:eastAsia="zh-CN"/>
        </w:rPr>
        <w:t>经费</w:t>
      </w:r>
      <w:r>
        <w:rPr>
          <w:rFonts w:hint="eastAsia" w:ascii="仿宋_GB2312" w:hAnsi="黑体" w:eastAsia="仿宋_GB2312" w:cs="方正小标宋简体"/>
          <w:color w:val="auto"/>
          <w:sz w:val="30"/>
          <w:szCs w:val="30"/>
          <w:highlight w:val="none"/>
        </w:rPr>
        <w:t>包括商品和服务支出、资本性支出等人员经费以外的支出。</w:t>
      </w:r>
    </w:p>
    <w:p w14:paraId="16FE8408">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（二）</w:t>
      </w:r>
      <w:r>
        <w:rPr>
          <w:rFonts w:hint="eastAsia" w:ascii="仿宋_GB2312" w:hAnsi="黑体" w:eastAsia="仿宋_GB2312" w:cs="方正小标宋简体"/>
          <w:color w:val="auto"/>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color w:val="auto"/>
          <w:sz w:val="30"/>
          <w:szCs w:val="30"/>
          <w:highlight w:val="none"/>
          <w:lang w:eastAsia="zh-CN"/>
        </w:rPr>
        <w:t>。</w:t>
      </w:r>
    </w:p>
    <w:p w14:paraId="751A8343">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（三）</w:t>
      </w:r>
      <w:r>
        <w:rPr>
          <w:rFonts w:hint="eastAsia" w:ascii="仿宋_GB2312" w:hAnsi="黑体" w:eastAsia="仿宋_GB2312" w:cs="方正小标宋简体"/>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color w:val="auto"/>
          <w:sz w:val="30"/>
          <w:szCs w:val="30"/>
          <w:highlight w:val="none"/>
          <w:lang w:eastAsia="zh-CN"/>
        </w:rPr>
        <w:t>、牌照费</w:t>
      </w:r>
      <w:r>
        <w:rPr>
          <w:rFonts w:hint="eastAsia" w:ascii="仿宋_GB2312" w:hAnsi="黑体" w:eastAsia="仿宋_GB2312" w:cs="方正小标宋简体"/>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66E7E010">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（四）本文所称财政拨款</w:t>
      </w:r>
      <w:r>
        <w:rPr>
          <w:rFonts w:hint="eastAsia" w:ascii="仿宋_GB2312" w:hAnsi="黑体" w:eastAsia="仿宋_GB2312" w:cs="方正小标宋简体"/>
          <w:color w:val="auto"/>
          <w:sz w:val="30"/>
          <w:szCs w:val="30"/>
          <w:highlight w:val="none"/>
        </w:rPr>
        <w:t>“三公”经费决算数</w:t>
      </w:r>
      <w:r>
        <w:rPr>
          <w:rFonts w:hint="eastAsia" w:ascii="仿宋_GB2312" w:hAnsi="黑体" w:eastAsia="仿宋_GB2312" w:cs="方正小标宋简体"/>
          <w:color w:val="auto"/>
          <w:sz w:val="30"/>
          <w:szCs w:val="30"/>
          <w:highlight w:val="none"/>
          <w:lang w:eastAsia="zh-CN"/>
        </w:rPr>
        <w:t>是</w:t>
      </w:r>
      <w:r>
        <w:rPr>
          <w:rFonts w:hint="eastAsia" w:ascii="仿宋_GB2312" w:hAnsi="黑体" w:eastAsia="仿宋_GB2312" w:cs="方正小标宋简体"/>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55226E2">
      <w:pPr>
        <w:jc w:val="center"/>
        <w:outlineLvl w:val="0"/>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w:t>
      </w:r>
      <w:r>
        <w:rPr>
          <w:rFonts w:hint="eastAsia" w:ascii="黑体" w:hAnsi="黑体" w:eastAsia="黑体" w:cs="方正小标宋简体"/>
          <w:color w:val="auto"/>
          <w:sz w:val="32"/>
          <w:szCs w:val="32"/>
          <w:highlight w:val="none"/>
          <w:lang w:eastAsia="zh-CN"/>
        </w:rPr>
        <w:t>五</w:t>
      </w:r>
      <w:r>
        <w:rPr>
          <w:rFonts w:hint="eastAsia" w:ascii="黑体" w:hAnsi="黑体" w:eastAsia="黑体" w:cs="方正小标宋简体"/>
          <w:color w:val="auto"/>
          <w:sz w:val="32"/>
          <w:szCs w:val="32"/>
          <w:highlight w:val="none"/>
        </w:rPr>
        <w:t>部分  名词解释</w:t>
      </w:r>
    </w:p>
    <w:p w14:paraId="4AF454A6">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71CF80C">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rPr>
        <w:t>情况说明里涉及到需要解释说明的决算相关专用名词，在此进行说明解释。</w:t>
      </w:r>
      <w:r>
        <w:rPr>
          <w:rFonts w:hint="eastAsia" w:ascii="仿宋_GB2312" w:hAnsi="黑体" w:eastAsia="仿宋_GB2312" w:cs="方正小标宋简体"/>
          <w:color w:val="auto"/>
          <w:sz w:val="30"/>
          <w:szCs w:val="30"/>
          <w:highlight w:val="none"/>
          <w:lang w:eastAsia="zh-CN"/>
        </w:rPr>
        <w:t>若没有涉及专用名词，</w:t>
      </w:r>
      <w:r>
        <w:rPr>
          <w:rFonts w:hint="eastAsia" w:ascii="仿宋_GB2312" w:hAnsi="黑体" w:eastAsia="仿宋_GB2312" w:cs="方正小标宋简体"/>
          <w:b/>
          <w:bCs/>
          <w:color w:val="auto"/>
          <w:sz w:val="30"/>
          <w:szCs w:val="30"/>
          <w:highlight w:val="none"/>
          <w:lang w:eastAsia="zh-CN"/>
        </w:rPr>
        <w:t>应</w:t>
      </w:r>
      <w:r>
        <w:rPr>
          <w:rFonts w:hint="eastAsia" w:ascii="仿宋_GB2312" w:hAnsi="仿宋_GB2312" w:eastAsia="仿宋_GB2312" w:cs="仿宋_GB2312"/>
          <w:b/>
          <w:bCs/>
          <w:color w:val="auto"/>
          <w:sz w:val="30"/>
          <w:szCs w:val="30"/>
          <w:highlight w:val="none"/>
          <w:u w:val="none"/>
          <w:lang w:val="en-US" w:eastAsia="zh-CN"/>
        </w:rPr>
        <w:t>至少公开一条与决算相关的财务专业名词解释，或</w:t>
      </w:r>
      <w:r>
        <w:rPr>
          <w:rFonts w:hint="eastAsia" w:ascii="仿宋_GB2312" w:hAnsi="黑体" w:eastAsia="仿宋_GB2312" w:cs="方正小标宋简体"/>
          <w:color w:val="auto"/>
          <w:sz w:val="30"/>
          <w:szCs w:val="30"/>
          <w:highlight w:val="none"/>
          <w:lang w:eastAsia="zh-CN"/>
        </w:rPr>
        <w:t>请直接保留模板提供专用名词。</w:t>
      </w:r>
    </w:p>
    <w:p w14:paraId="645C9FD0">
      <w:pPr>
        <w:rPr>
          <w:color w:val="auto"/>
        </w:rPr>
      </w:pPr>
    </w:p>
    <w:p w14:paraId="1C989426">
      <w:pPr>
        <w:rPr>
          <w:rFonts w:ascii="Arial" w:hAnsi="Arial" w:eastAsia="Arial" w:cs="Arial"/>
          <w:b/>
          <w:sz w:val="36"/>
        </w:rPr>
      </w:pPr>
      <w:r>
        <w:rPr>
          <w:rFonts w:ascii="Arial" w:hAnsi="Arial" w:eastAsia="Arial" w:cs="Arial"/>
          <w:b/>
          <w:sz w:val="36"/>
        </w:rPr>
        <w:t>监督索引号53042400420301111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EAEDA2-E704-4938-91A9-456F9DFB9EF6}"/>
  </w:font>
  <w:font w:name="黑体">
    <w:panose1 w:val="02010609060101010101"/>
    <w:charset w:val="86"/>
    <w:family w:val="auto"/>
    <w:pitch w:val="default"/>
    <w:sig w:usb0="800002BF" w:usb1="38CF7CFA" w:usb2="00000016" w:usb3="00000000" w:csb0="00040001" w:csb1="00000000"/>
    <w:embedRegular r:id="rId2" w:fontKey="{DE064846-BA6F-47F2-AD23-86AD2C9D08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E6AB5CDC-A73B-4651-AC95-8D475A6EB437}"/>
  </w:font>
  <w:font w:name="方正小标宋简体">
    <w:panose1 w:val="02000000000000000000"/>
    <w:charset w:val="86"/>
    <w:family w:val="script"/>
    <w:pitch w:val="default"/>
    <w:sig w:usb0="00000001" w:usb1="08000000" w:usb2="00000000" w:usb3="00000000" w:csb0="00040000" w:csb1="00000000"/>
    <w:embedRegular r:id="rId4" w:fontKey="{52FD7DC8-991D-46D6-A794-FC39C87F213B}"/>
  </w:font>
  <w:font w:name="楷体">
    <w:panose1 w:val="02010609060101010101"/>
    <w:charset w:val="86"/>
    <w:family w:val="modern"/>
    <w:pitch w:val="default"/>
    <w:sig w:usb0="800002BF" w:usb1="38CF7CFA" w:usb2="00000016" w:usb3="00000000" w:csb0="00040001" w:csb1="00000000"/>
    <w:embedRegular r:id="rId5" w:fontKey="{E37F3D97-354C-48FA-B99C-16907EB06A9A}"/>
  </w:font>
  <w:font w:name="方正仿宋_GBK">
    <w:panose1 w:val="02000000000000000000"/>
    <w:charset w:val="86"/>
    <w:family w:val="auto"/>
    <w:pitch w:val="default"/>
    <w:sig w:usb0="A00002BF" w:usb1="38CF7CFA" w:usb2="00082016" w:usb3="00000000" w:csb0="00040001" w:csb1="00000000"/>
    <w:embedRegular r:id="rId6" w:fontKey="{9D841CCA-7B11-4ED1-BDA6-817BDEFB4ECC}"/>
  </w:font>
  <w:font w:name="方正楷体_GBK">
    <w:panose1 w:val="02000000000000000000"/>
    <w:charset w:val="86"/>
    <w:family w:val="auto"/>
    <w:pitch w:val="default"/>
    <w:sig w:usb0="800002BF" w:usb1="38CF7CFA" w:usb2="00000016" w:usb3="00000000" w:csb0="00040000" w:csb1="00000000"/>
    <w:embedRegular r:id="rId7" w:fontKey="{70415408-5DCC-418C-A47E-AD7FFC021B68}"/>
  </w:font>
  <w:font w:name="楷体_GB2312">
    <w:altName w:val="楷体"/>
    <w:panose1 w:val="02010609030101010101"/>
    <w:charset w:val="86"/>
    <w:family w:val="auto"/>
    <w:pitch w:val="default"/>
    <w:sig w:usb0="00000000" w:usb1="00000000" w:usb2="00000000" w:usb3="00000000" w:csb0="00040000" w:csb1="00000000"/>
    <w:embedRegular r:id="rId8" w:fontKey="{03927A8B-DBF9-4887-8730-01A84DE18B4C}"/>
  </w:font>
  <w:font w:name="仿宋">
    <w:panose1 w:val="02010609060101010101"/>
    <w:charset w:val="86"/>
    <w:family w:val="auto"/>
    <w:pitch w:val="default"/>
    <w:sig w:usb0="800002BF" w:usb1="38CF7CFA" w:usb2="00000016" w:usb3="00000000" w:csb0="00040001" w:csb1="00000000"/>
    <w:embedRegular r:id="rId9" w:fontKey="{39AB355C-493C-49E8-90EF-025012C7F5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0BB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540CA4">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5F540CA4">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9044">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1A11C8C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7C2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mMDA5ODA5MTA5MGFjMDM4YjY5NTI0ODY2MzIwYzMifQ=="/>
  </w:docVars>
  <w:rsids>
    <w:rsidRoot w:val="00000000"/>
    <w:rsid w:val="0B1D50BA"/>
    <w:rsid w:val="1F2E5690"/>
    <w:rsid w:val="21AD7A31"/>
    <w:rsid w:val="346239BA"/>
    <w:rsid w:val="38CE1F7E"/>
    <w:rsid w:val="4DCE1C69"/>
    <w:rsid w:val="4ECA7D8D"/>
    <w:rsid w:val="5F0B4ACB"/>
    <w:rsid w:val="5F2913F5"/>
    <w:rsid w:val="612E4AA0"/>
    <w:rsid w:val="61EB0BE3"/>
    <w:rsid w:val="64A357A5"/>
    <w:rsid w:val="650224CC"/>
    <w:rsid w:val="6A344095"/>
    <w:rsid w:val="74AA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eastAsia="宋体" w:cs="宋体"/>
      <w:sz w:val="24"/>
      <w:szCs w:val="24"/>
    </w:rPr>
  </w:style>
  <w:style w:type="paragraph" w:customStyle="1" w:styleId="11">
    <w:name w:val="正文首行缩进 21"/>
    <w:basedOn w:val="1"/>
    <w:qFormat/>
    <w:uiPriority w:val="99"/>
    <w:pPr>
      <w:spacing w:after="120"/>
      <w:ind w:left="420" w:leftChars="200" w:firstLine="420" w:firstLineChars="200"/>
    </w:pPr>
    <w:rPr>
      <w:kern w:val="0"/>
      <w:sz w:val="28"/>
      <w:szCs w:val="28"/>
    </w:rPr>
  </w:style>
  <w:style w:type="paragraph" w:customStyle="1" w:styleId="12">
    <w:name w:val="p_MsoBodyText"/>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28f8f-d4af-4e60-840a-36218f41ab9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9833</Words>
  <Characters>11874</Characters>
  <Lines>0</Lines>
  <Paragraphs>0</Paragraphs>
  <TotalTime>57</TotalTime>
  <ScaleCrop>false</ScaleCrop>
  <LinksUpToDate>false</LinksUpToDate>
  <CharactersWithSpaces>11895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Lenovo</cp:lastModifiedBy>
  <dcterms:modified xsi:type="dcterms:W3CDTF">2025-09-16T09:16:05Z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4F2128AD90A24581A6651E9683FE4A0D_12</vt:lpwstr>
  </property>
  <property fmtid="{D5CDD505-2E9C-101B-9397-08002B2CF9AE}" pid="3" name="KSOProductBuildVer">
    <vt:lpwstr>2052-12.1.0.18334</vt:lpwstr>
  </property>
  <property fmtid="{D5CDD505-2E9C-101B-9397-08002B2CF9AE}" pid="4" name="KSOTemplateDocerSaveRecord">
    <vt:lpwstr>eyJoZGlkIjoiNTZiYWVjODFlMDRhYTcwNzQ2MDE1ODdjYTI1YWIyNWEiLCJ1c2VySWQiOiIyMjgxNTgzMTEifQ==</vt:lpwstr>
  </property>
</Properties>
</file>