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OLE_LINK1"/>
      <w:r>
        <w:rPr>
          <w:rFonts w:ascii="Arial" w:hAnsi="Arial" w:eastAsia="Arial" w:cs="Arial"/>
          <w:b/>
          <w:sz w:val="36"/>
        </w:rPr>
        <w:t>监督索引号53042400646800201000</w:t>
      </w:r>
    </w:p>
    <w:p>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华宁县林业和草原局（本级）</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jc w:val="center"/>
        <w:rPr>
          <w:rFonts w:hint="eastAsia" w:ascii="方正小标宋简体" w:hAnsi="方正小标宋简体" w:eastAsia="方正小标宋简体" w:cs="方正小标宋简体"/>
          <w:sz w:val="36"/>
          <w:szCs w:val="36"/>
          <w:highlight w:val="none"/>
        </w:rPr>
      </w:pPr>
    </w:p>
    <w:p>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jc w:val="left"/>
        <w:rPr>
          <w:rFonts w:hint="eastAsia" w:ascii="黑体" w:hAnsi="黑体" w:eastAsia="黑体"/>
          <w:sz w:val="30"/>
          <w:szCs w:val="30"/>
          <w:highlight w:val="none"/>
        </w:rPr>
      </w:pP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both"/>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spacing w:beforeLines="0" w:afterLines="0" w:line="590" w:lineRule="exact"/>
        <w:ind w:firstLine="600"/>
        <w:jc w:val="both"/>
        <w:rPr>
          <w:rFonts w:hint="eastAsia" w:ascii="仿宋" w:hAnsi="仿宋" w:eastAsia="仿宋" w:cs="仿宋"/>
          <w:sz w:val="30"/>
          <w:lang w:val="zh-CN"/>
        </w:rPr>
      </w:pPr>
      <w:r>
        <w:rPr>
          <w:rFonts w:hint="eastAsia" w:ascii="楷体" w:hAnsi="楷体" w:eastAsia="楷体"/>
          <w:sz w:val="30"/>
          <w:lang w:val="zh-CN"/>
        </w:rPr>
        <w:t>（一）主要职能</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firstLine="600" w:firstLineChars="200"/>
        <w:jc w:val="both"/>
        <w:textAlignment w:val="auto"/>
        <w:rPr>
          <w:rFonts w:hint="eastAsia" w:ascii="仿宋" w:hAnsi="仿宋" w:eastAsia="仿宋" w:cs="仿宋"/>
          <w:sz w:val="30"/>
          <w:szCs w:val="30"/>
          <w:lang w:bidi="ar"/>
        </w:rPr>
      </w:pPr>
      <w:r>
        <w:rPr>
          <w:rFonts w:hint="eastAsia" w:ascii="仿宋" w:hAnsi="仿宋" w:eastAsia="仿宋" w:cs="仿宋"/>
          <w:sz w:val="30"/>
          <w:szCs w:val="30"/>
          <w:lang w:val="en-US" w:eastAsia="zh-CN" w:bidi="ar"/>
        </w:rPr>
        <w:t>1.</w:t>
      </w:r>
      <w:r>
        <w:rPr>
          <w:rFonts w:hint="eastAsia" w:ascii="仿宋" w:hAnsi="仿宋" w:eastAsia="仿宋" w:cs="仿宋"/>
          <w:sz w:val="30"/>
          <w:szCs w:val="30"/>
          <w:lang w:bidi="ar"/>
        </w:rPr>
        <w:t>负责林业和草原及其生态保护修复的监督管理。拟订林业和草原及其生态保护修复的政策、规划、标准并监督实施，组织开展森林、草原、湿地、荒漠和陆生野生动植物资源动态监测与评价，并统一发布有关信息。承担林业和草原生态文明建设的有关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00" w:firstLineChars="200"/>
        <w:jc w:val="both"/>
        <w:textAlignment w:val="auto"/>
        <w:rPr>
          <w:rFonts w:hint="eastAsia" w:ascii="仿宋" w:hAnsi="仿宋" w:eastAsia="仿宋" w:cs="仿宋"/>
          <w:sz w:val="30"/>
          <w:szCs w:val="30"/>
          <w:lang w:bidi="ar"/>
        </w:rPr>
      </w:pPr>
      <w:r>
        <w:rPr>
          <w:rFonts w:hint="eastAsia" w:ascii="仿宋" w:hAnsi="仿宋" w:eastAsia="仿宋" w:cs="仿宋"/>
          <w:sz w:val="30"/>
          <w:szCs w:val="30"/>
          <w:lang w:val="en-US" w:eastAsia="zh-CN" w:bidi="ar"/>
        </w:rPr>
        <w:t>2.</w:t>
      </w:r>
      <w:r>
        <w:rPr>
          <w:rFonts w:hint="eastAsia" w:ascii="仿宋" w:hAnsi="仿宋" w:eastAsia="仿宋" w:cs="仿宋"/>
          <w:sz w:val="30"/>
          <w:szCs w:val="30"/>
          <w:lang w:bidi="ar"/>
        </w:rPr>
        <w:t>组织林业和草原生态保护修复和造林绿化工作。组织实施林业和草原重点生态保护修复工程，开展公益林和商品林的培育，指导、监督全民义务植树、城乡绿化工作。指导林业和草原有害生物防治、检疫工作。承担林业和草原应对气候变化的有关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3.</w:t>
      </w:r>
      <w:r>
        <w:rPr>
          <w:rFonts w:hint="eastAsia" w:ascii="仿宋" w:hAnsi="仿宋" w:eastAsia="仿宋" w:cs="仿宋"/>
          <w:sz w:val="30"/>
          <w:szCs w:val="30"/>
          <w:lang w:bidi="ar"/>
        </w:rPr>
        <w:t>负责森林、草原、湿地资源的监督管理。组织编制森林采伐限额，经上级部门审批后监督执行。负责林地管理，拟订林地保护利用规划并组织实施。监督管理国有林区的国有森林资源。负责各类公益林区划、报批，指导公益林管理工作。负责草原禁牧、草畜平衡和草原生态修复治理工作，监督管理草原的开发利用。负责湿地生态保护修复工作，拟订湿地保护规划，监督管理湿地的开发利用。</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4.</w:t>
      </w:r>
      <w:r>
        <w:rPr>
          <w:rFonts w:hint="eastAsia" w:ascii="仿宋" w:hAnsi="仿宋" w:eastAsia="仿宋" w:cs="仿宋"/>
          <w:sz w:val="30"/>
          <w:szCs w:val="30"/>
          <w:lang w:bidi="ar"/>
        </w:rPr>
        <w:t>负责监督管理荒漠化防治工作。组织开展荒漠调查，组织拟订防沙治沙、石漠化防治及沙化土地封禁保护区建设规划，监督管理石漠化、沙化土地的开发利用。</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5.</w:t>
      </w:r>
      <w:r>
        <w:rPr>
          <w:rFonts w:hint="eastAsia" w:ascii="仿宋" w:hAnsi="仿宋" w:eastAsia="仿宋" w:cs="仿宋"/>
          <w:sz w:val="30"/>
          <w:szCs w:val="30"/>
          <w:lang w:bidi="ar"/>
        </w:rPr>
        <w:t>负责陆生野生动植物资源监督管理，以及陆生野生动物栖息地调查、管理。组织开展陆生野生动植物资源调查，指导陆生野生动植物的救护繁育、栖息地恢复发展、疫源疫病监测，监督管理陆生野生动植物猎捕或采集、驯养繁殖或培植、经营利用，按分工监督管理野生动植物进出口。</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6.</w:t>
      </w:r>
      <w:r>
        <w:rPr>
          <w:rFonts w:hint="eastAsia" w:ascii="仿宋" w:hAnsi="仿宋" w:eastAsia="仿宋" w:cs="仿宋"/>
          <w:sz w:val="30"/>
          <w:szCs w:val="30"/>
          <w:lang w:bidi="ar"/>
        </w:rPr>
        <w:t>负责监督管理各类自然保护地。拟订各类自然保护地发展规划。组织开展国家公园的划定、建设、管理和监督工作。提出新建、调整自然保护地的建议并按程序报批。拟订风景名胜区的发展规划、政策，报经批准后指导实施。负责风景名胜区、世界自然遗产等的审核报批和监督管理，会同有关部门审核世界自然与文化遗产的申报。负责森林旅游发展的规划、指导、管理和监督。按分工负责生物多样性保护有关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7.</w:t>
      </w:r>
      <w:r>
        <w:rPr>
          <w:rFonts w:hint="eastAsia" w:ascii="仿宋" w:hAnsi="仿宋" w:eastAsia="仿宋" w:cs="仿宋"/>
          <w:sz w:val="30"/>
          <w:szCs w:val="30"/>
          <w:lang w:bidi="ar"/>
        </w:rPr>
        <w:t>负责推进林业和草原改革和产业发展相关工作。拟订集体林权制度、国有林区、国有林场、草原等重大改革意见并监督实施。拟订林业和草原发展、维护林业和草原经营者合法权益的政策措施，指导农村林地承包经营工作。指导监督林下经济发展。开展退耕（牧）还林还草，负责天然林保护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8.</w:t>
      </w:r>
      <w:r>
        <w:rPr>
          <w:rFonts w:hint="eastAsia" w:ascii="仿宋" w:hAnsi="仿宋" w:eastAsia="仿宋" w:cs="仿宋"/>
          <w:sz w:val="30"/>
          <w:szCs w:val="30"/>
          <w:lang w:bidi="ar"/>
        </w:rPr>
        <w:t>拟订林业和草原资源优化配置及木材利用政策，拟订相关林业和草原产业相关标准并监督实施，组织、指导林产品质量监督，指导生态扶贫有关工作。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9.</w:t>
      </w:r>
      <w:r>
        <w:rPr>
          <w:rFonts w:hint="eastAsia" w:ascii="仿宋" w:hAnsi="仿宋" w:eastAsia="仿宋" w:cs="仿宋"/>
          <w:sz w:val="30"/>
          <w:szCs w:val="30"/>
          <w:lang w:bidi="ar"/>
        </w:rPr>
        <w:t>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指导和监督生态体系建设。</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10.</w:t>
      </w:r>
      <w:r>
        <w:rPr>
          <w:rFonts w:hint="eastAsia" w:ascii="仿宋" w:hAnsi="仿宋" w:eastAsia="仿宋" w:cs="仿宋"/>
          <w:sz w:val="30"/>
          <w:szCs w:val="30"/>
          <w:lang w:bidi="ar"/>
        </w:rPr>
        <w:t>指导华宁县自然资源公安工作，监督管理自然资源公安队伍，指导相关重大违法案件的查处，负责有关行政执法监督管理工作，指导林区社会治安治理工作。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11.</w:t>
      </w:r>
      <w:r>
        <w:rPr>
          <w:rFonts w:hint="eastAsia" w:ascii="仿宋" w:hAnsi="仿宋" w:eastAsia="仿宋" w:cs="仿宋"/>
          <w:sz w:val="30"/>
          <w:szCs w:val="30"/>
          <w:lang w:bidi="ar"/>
        </w:rPr>
        <w:t>负责落实综合防灾减灾规划有关要求，组织编制森林和草原火灾防治规划并指导实施。指导开展防火巡护、火源管理、防火设施建设等工作。组织指导国有（集体）林场林区和草原开展宣传教育、监测预警、督促检查等防火工作。负责林业和草原灾害统计评估及恢复重建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12.</w:t>
      </w:r>
      <w:r>
        <w:rPr>
          <w:rFonts w:hint="eastAsia" w:ascii="仿宋" w:hAnsi="仿宋" w:eastAsia="仿宋" w:cs="仿宋"/>
          <w:sz w:val="30"/>
          <w:szCs w:val="30"/>
          <w:lang w:bidi="ar"/>
        </w:rPr>
        <w:t>监督管理林业和草原资金和国有资产，提出林业和草原预算内投资、林业资金安排建议，按县政府规定的权限，执行规划内和年度计划内固定资产投资项目。参与拟订林业和草原经济调节政策，组织实施林业和草原生态补偿工作。负责林业和草原经济运行分析。</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13.</w:t>
      </w:r>
      <w:r>
        <w:rPr>
          <w:rFonts w:hint="eastAsia" w:ascii="仿宋" w:hAnsi="仿宋" w:eastAsia="仿宋" w:cs="仿宋"/>
          <w:sz w:val="30"/>
          <w:szCs w:val="30"/>
          <w:lang w:bidi="ar"/>
        </w:rPr>
        <w:t>负责林业和草原科技、教育、宣传和外事工作，指导林业和草原人才队伍建设，组织实施林业和草原对外交流与合作事务，协助湿地、防治荒漠化、濒危野生动植物等国际公约履约工作。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firstLine="645"/>
        <w:jc w:val="both"/>
        <w:textAlignment w:val="auto"/>
        <w:rPr>
          <w:rFonts w:hint="eastAsia" w:ascii="仿宋" w:hAnsi="仿宋" w:eastAsia="仿宋" w:cs="仿宋"/>
          <w:sz w:val="30"/>
          <w:szCs w:val="30"/>
          <w:lang w:bidi="ar"/>
        </w:rPr>
      </w:pPr>
      <w:r>
        <w:rPr>
          <w:rFonts w:hint="eastAsia" w:ascii="仿宋" w:hAnsi="仿宋" w:eastAsia="仿宋" w:cs="仿宋"/>
          <w:sz w:val="30"/>
          <w:szCs w:val="30"/>
          <w:lang w:val="en-US" w:eastAsia="zh-CN" w:bidi="ar"/>
        </w:rPr>
        <w:t>14.</w:t>
      </w:r>
      <w:r>
        <w:rPr>
          <w:rFonts w:hint="eastAsia" w:ascii="仿宋" w:hAnsi="仿宋" w:eastAsia="仿宋" w:cs="仿宋"/>
          <w:sz w:val="30"/>
          <w:szCs w:val="30"/>
          <w:lang w:bidi="ar"/>
        </w:rPr>
        <w:t>完成县委、县政府交办的其他任务。</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firstLine="645"/>
        <w:jc w:val="both"/>
        <w:textAlignment w:val="auto"/>
        <w:rPr>
          <w:rFonts w:hint="eastAsia" w:ascii="仿宋" w:hAnsi="仿宋" w:eastAsia="仿宋" w:cs="仿宋"/>
          <w:sz w:val="30"/>
          <w:szCs w:val="30"/>
          <w:lang w:bidi="ar"/>
        </w:rPr>
      </w:pPr>
      <w:r>
        <w:rPr>
          <w:rFonts w:hint="eastAsia" w:ascii="仿宋" w:hAnsi="仿宋" w:eastAsia="仿宋" w:cs="仿宋"/>
          <w:sz w:val="30"/>
          <w:szCs w:val="30"/>
          <w:lang w:val="en-US" w:eastAsia="zh-CN" w:bidi="ar"/>
        </w:rPr>
        <w:t>15.</w:t>
      </w:r>
      <w:r>
        <w:rPr>
          <w:rFonts w:hint="eastAsia" w:ascii="仿宋" w:hAnsi="仿宋" w:eastAsia="仿宋" w:cs="仿宋"/>
          <w:sz w:val="30"/>
          <w:szCs w:val="30"/>
          <w:lang w:bidi="ar"/>
        </w:rPr>
        <w:t>职能转变。华宁县林业和草原局要切实加大生态系统保护力度，实施重要生态系统保护和修复工程，加强森林、草原、湿地监督管理的统筹协调，大力推进绿化，保障生态安全。按照国家、省市统一部署，参与以国家公园为主体的自然保护地体系建设，统一推进各类自然保护地的清理规范和归并整合，建设统一规范高效的中国特色国家公园体制。</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jc w:val="both"/>
        <w:textAlignment w:val="auto"/>
        <w:rPr>
          <w:rFonts w:hint="eastAsia" w:ascii="仿宋" w:hAnsi="仿宋" w:eastAsia="仿宋" w:cs="仿宋"/>
          <w:bCs/>
          <w:sz w:val="30"/>
          <w:szCs w:val="30"/>
        </w:rPr>
      </w:pPr>
      <w:r>
        <w:rPr>
          <w:rFonts w:hint="eastAsia" w:ascii="仿宋" w:hAnsi="仿宋" w:eastAsia="仿宋" w:cs="仿宋"/>
          <w:sz w:val="30"/>
          <w:szCs w:val="30"/>
          <w:lang w:bidi="ar"/>
        </w:rPr>
        <w:t>　　</w:t>
      </w:r>
      <w:r>
        <w:rPr>
          <w:rFonts w:hint="eastAsia" w:ascii="仿宋" w:hAnsi="仿宋" w:eastAsia="仿宋" w:cs="仿宋"/>
          <w:sz w:val="30"/>
          <w:szCs w:val="30"/>
          <w:lang w:val="en-US" w:eastAsia="zh-CN" w:bidi="ar"/>
        </w:rPr>
        <w:t>16.</w:t>
      </w:r>
      <w:r>
        <w:rPr>
          <w:rFonts w:hint="eastAsia" w:ascii="仿宋" w:hAnsi="仿宋" w:eastAsia="仿宋" w:cs="仿宋"/>
          <w:sz w:val="30"/>
          <w:szCs w:val="30"/>
          <w:lang w:bidi="ar"/>
        </w:rPr>
        <w:t>有关职责分工。与华宁县市场监督管理局的有关职责分工。华宁县林业和草原局负责依法可食用陆生野生动物从驯养繁殖环节到进入批发、零售市场或生产加工企业前的质量安全监督管理。依法可食用陆生野生动物进入批发、零售市场或生产加工企业后，由华宁县市场监督管理局监督管理。华宁县市场监督管理局对发现的破坏陆生野生动物资源违法行为或案件线索，要及时移送公安机关立案查处。</w:t>
      </w:r>
    </w:p>
    <w:p>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pPr>
        <w:spacing w:line="600" w:lineRule="exact"/>
        <w:ind w:firstLine="600" w:firstLineChars="200"/>
        <w:jc w:val="both"/>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rPr>
        <w:t>我部门共设置</w:t>
      </w:r>
      <w:r>
        <w:rPr>
          <w:rFonts w:hint="eastAsia" w:ascii="仿宋" w:hAnsi="仿宋" w:eastAsia="仿宋" w:cs="仿宋"/>
          <w:sz w:val="30"/>
          <w:szCs w:val="30"/>
          <w:lang w:val="en-US" w:eastAsia="zh-CN"/>
        </w:rPr>
        <w:t>3</w:t>
      </w:r>
      <w:r>
        <w:rPr>
          <w:rFonts w:hint="eastAsia" w:ascii="仿宋" w:hAnsi="仿宋" w:eastAsia="仿宋" w:cs="仿宋"/>
          <w:sz w:val="30"/>
          <w:szCs w:val="30"/>
        </w:rPr>
        <w:t>个内设机构，包括：</w:t>
      </w:r>
      <w:r>
        <w:rPr>
          <w:rFonts w:hint="eastAsia" w:ascii="仿宋" w:hAnsi="仿宋" w:eastAsia="仿宋" w:cs="仿宋"/>
          <w:kern w:val="0"/>
          <w:sz w:val="30"/>
          <w:szCs w:val="30"/>
          <w:highlight w:val="none"/>
          <w:lang w:val="en-US" w:eastAsia="zh-CN"/>
        </w:rPr>
        <w:t>办公室、行政审批与政策法规股、资源管理股。</w:t>
      </w:r>
    </w:p>
    <w:p>
      <w:pPr>
        <w:spacing w:line="600" w:lineRule="exact"/>
        <w:ind w:firstLine="600" w:firstLineChars="200"/>
        <w:outlineLvl w:val="2"/>
        <w:rPr>
          <w:rFonts w:hint="eastAsia" w:ascii="仿宋" w:hAnsi="仿宋" w:eastAsia="仿宋" w:cs="仿宋"/>
          <w:sz w:val="30"/>
          <w:lang w:val="en-US"/>
        </w:rPr>
      </w:pPr>
      <w:r>
        <w:rPr>
          <w:rFonts w:hint="eastAsia" w:ascii="仿宋" w:hAnsi="仿宋" w:eastAsia="仿宋" w:cs="仿宋"/>
          <w:sz w:val="30"/>
          <w:lang w:val="en-US"/>
        </w:rPr>
        <w:t>我单位为基层预算单位，无下属单位。</w:t>
      </w:r>
    </w:p>
    <w:p>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pPr>
        <w:spacing w:beforeLines="0" w:afterLines="0" w:line="600" w:lineRule="exact"/>
        <w:ind w:firstLine="600"/>
        <w:jc w:val="both"/>
        <w:rPr>
          <w:rFonts w:hint="eastAsia" w:ascii="仿宋" w:hAnsi="仿宋" w:eastAsia="仿宋" w:cs="仿宋"/>
          <w:sz w:val="30"/>
          <w:szCs w:val="30"/>
          <w:highlight w:val="none"/>
        </w:rPr>
      </w:pPr>
      <w:r>
        <w:rPr>
          <w:rFonts w:hint="eastAsia" w:ascii="仿宋" w:hAnsi="仿宋" w:eastAsia="仿宋" w:cs="仿宋"/>
          <w:color w:val="auto"/>
          <w:sz w:val="30"/>
          <w:lang w:val="zh-CN"/>
        </w:rPr>
        <w:t>华宁县林业和草原局（本级）</w:t>
      </w:r>
      <w:r>
        <w:rPr>
          <w:rFonts w:hint="eastAsia" w:ascii="仿宋" w:hAnsi="仿宋" w:eastAsia="仿宋" w:cs="仿宋"/>
          <w:color w:val="auto"/>
          <w:sz w:val="30"/>
          <w:lang w:val="en-US"/>
        </w:rPr>
        <w:t>作为二级预算单位纳入</w:t>
      </w:r>
      <w:r>
        <w:rPr>
          <w:rFonts w:hint="eastAsia" w:ascii="仿宋" w:hAnsi="仿宋" w:eastAsia="仿宋" w:cs="仿宋"/>
          <w:color w:val="auto"/>
          <w:sz w:val="30"/>
          <w:lang w:val="en-US" w:eastAsia="zh-CN"/>
        </w:rPr>
        <w:t>华宁县林业和草原局</w:t>
      </w:r>
      <w:r>
        <w:rPr>
          <w:rFonts w:hint="eastAsia" w:ascii="仿宋" w:hAnsi="仿宋" w:eastAsia="仿宋" w:cs="仿宋"/>
          <w:color w:val="auto"/>
          <w:sz w:val="30"/>
          <w:lang w:val="en-US"/>
        </w:rPr>
        <w:t>202</w:t>
      </w:r>
      <w:r>
        <w:rPr>
          <w:rFonts w:hint="eastAsia" w:ascii="仿宋" w:hAnsi="仿宋" w:eastAsia="仿宋" w:cs="仿宋"/>
          <w:color w:val="auto"/>
          <w:sz w:val="30"/>
          <w:lang w:val="en-US" w:eastAsia="zh-CN"/>
        </w:rPr>
        <w:t>4</w:t>
      </w:r>
      <w:r>
        <w:rPr>
          <w:rFonts w:hint="eastAsia" w:ascii="仿宋" w:hAnsi="仿宋" w:eastAsia="仿宋" w:cs="仿宋"/>
          <w:color w:val="auto"/>
          <w:sz w:val="30"/>
          <w:lang w:val="en-US"/>
        </w:rPr>
        <w:t>年度部门决算编报范围。</w:t>
      </w:r>
    </w:p>
    <w:p>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pPr>
        <w:spacing w:line="600" w:lineRule="exac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编制内</w:t>
      </w:r>
      <w:r>
        <w:rPr>
          <w:rFonts w:hint="eastAsia" w:ascii="仿宋" w:hAnsi="仿宋" w:eastAsia="仿宋" w:cs="仿宋"/>
          <w:sz w:val="30"/>
          <w:szCs w:val="30"/>
          <w:highlight w:val="none"/>
        </w:rPr>
        <w:t>实有人员</w:t>
      </w:r>
      <w:r>
        <w:rPr>
          <w:rFonts w:hint="eastAsia" w:ascii="仿宋" w:hAnsi="仿宋" w:eastAsia="仿宋" w:cs="仿宋"/>
          <w:color w:val="auto"/>
          <w:sz w:val="30"/>
          <w:szCs w:val="30"/>
          <w:lang w:val="en-US" w:eastAsia="zh-CN"/>
        </w:rPr>
        <w:t>50</w:t>
      </w:r>
      <w:r>
        <w:rPr>
          <w:rFonts w:hint="eastAsia" w:ascii="仿宋" w:hAnsi="仿宋" w:eastAsia="仿宋" w:cs="仿宋"/>
          <w:kern w:val="0"/>
          <w:sz w:val="30"/>
          <w:szCs w:val="30"/>
          <w:highlight w:val="none"/>
        </w:rPr>
        <w:t>人。</w:t>
      </w:r>
      <w:r>
        <w:rPr>
          <w:rFonts w:hint="eastAsia" w:ascii="仿宋" w:hAnsi="仿宋" w:eastAsia="仿宋" w:cs="仿宋"/>
          <w:b w:val="0"/>
          <w:bCs w:val="0"/>
          <w:kern w:val="0"/>
          <w:sz w:val="30"/>
          <w:szCs w:val="30"/>
          <w:highlight w:val="none"/>
          <w:lang w:eastAsia="zh-CN"/>
        </w:rPr>
        <w:t>包括</w:t>
      </w:r>
      <w:r>
        <w:rPr>
          <w:rFonts w:hint="eastAsia" w:ascii="仿宋" w:hAnsi="仿宋" w:eastAsia="仿宋" w:cs="仿宋"/>
          <w:kern w:val="0"/>
          <w:sz w:val="30"/>
          <w:szCs w:val="30"/>
          <w:highlight w:val="none"/>
          <w:lang w:eastAsia="zh-CN"/>
        </w:rPr>
        <w:t>财政拨款开支经费的</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公务员</w:t>
      </w:r>
      <w:r>
        <w:rPr>
          <w:rFonts w:hint="eastAsia" w:ascii="仿宋" w:hAnsi="仿宋" w:eastAsia="仿宋" w:cs="仿宋"/>
          <w:color w:val="auto"/>
          <w:sz w:val="30"/>
          <w:szCs w:val="30"/>
          <w:lang w:val="en-US" w:eastAsia="zh-CN"/>
        </w:rPr>
        <w:t>10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事业管理人员和专业技术人员</w:t>
      </w:r>
      <w:r>
        <w:rPr>
          <w:rFonts w:hint="eastAsia" w:ascii="仿宋" w:hAnsi="仿宋" w:eastAsia="仿宋" w:cs="仿宋"/>
          <w:color w:val="auto"/>
          <w:sz w:val="30"/>
          <w:szCs w:val="30"/>
          <w:lang w:val="en-US" w:eastAsia="zh-CN"/>
        </w:rPr>
        <w:t>26</w:t>
      </w:r>
      <w:r>
        <w:rPr>
          <w:rFonts w:hint="eastAsia" w:ascii="仿宋" w:hAnsi="仿宋" w:eastAsia="仿宋" w:cs="仿宋"/>
          <w:kern w:val="0"/>
          <w:sz w:val="30"/>
          <w:szCs w:val="30"/>
          <w:highlight w:val="none"/>
        </w:rPr>
        <w:t>人，机关和事业工人</w:t>
      </w:r>
      <w:r>
        <w:rPr>
          <w:rFonts w:hint="eastAsia" w:ascii="仿宋" w:hAnsi="仿宋" w:eastAsia="仿宋" w:cs="仿宋"/>
          <w:color w:val="auto"/>
          <w:sz w:val="30"/>
          <w:szCs w:val="30"/>
          <w:lang w:val="en-US" w:eastAsia="zh-CN"/>
        </w:rPr>
        <w:t>14</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；经费自理人员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p>
    <w:p>
      <w:pPr>
        <w:spacing w:line="600" w:lineRule="exact"/>
        <w:ind w:firstLine="600" w:firstLineChars="200"/>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其他人员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val="en-US" w:eastAsia="zh-CN"/>
        </w:rPr>
        <w:t>人。包括财政拨款开支经费的人员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人；经费自理人员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w:t>
      </w:r>
    </w:p>
    <w:p>
      <w:pPr>
        <w:spacing w:line="600" w:lineRule="exact"/>
        <w:ind w:firstLine="600" w:firstLineChars="200"/>
        <w:rPr>
          <w:rFonts w:hint="eastAsia" w:ascii="仿宋" w:hAnsi="仿宋" w:eastAsia="仿宋" w:cs="仿宋"/>
          <w:color w:val="FF0000"/>
          <w:kern w:val="0"/>
          <w:sz w:val="30"/>
          <w:szCs w:val="30"/>
          <w:highlight w:val="none"/>
          <w:lang w:val="en-US" w:eastAsia="zh-CN"/>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eastAsia" w:ascii="仿宋" w:hAnsi="仿宋" w:eastAsia="仿宋" w:cs="仿宋"/>
          <w:color w:val="auto"/>
          <w:sz w:val="30"/>
          <w:szCs w:val="30"/>
          <w:lang w:val="en-US" w:eastAsia="zh-CN"/>
        </w:rPr>
        <w:t>41</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41</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年末遗属</w:t>
      </w:r>
      <w:r>
        <w:rPr>
          <w:rFonts w:hint="eastAsia" w:ascii="仿宋" w:hAnsi="仿宋" w:eastAsia="仿宋" w:cs="仿宋"/>
          <w:color w:val="auto"/>
          <w:sz w:val="30"/>
          <w:szCs w:val="30"/>
          <w:lang w:val="en-US" w:eastAsia="zh-CN"/>
        </w:rPr>
        <w:t>4</w:t>
      </w:r>
      <w:r>
        <w:rPr>
          <w:rFonts w:hint="eastAsia" w:ascii="仿宋" w:hAnsi="仿宋" w:eastAsia="仿宋" w:cs="仿宋"/>
          <w:kern w:val="0"/>
          <w:sz w:val="30"/>
          <w:szCs w:val="30"/>
          <w:highlight w:val="none"/>
          <w:lang w:val="en-US" w:eastAsia="zh-CN"/>
        </w:rPr>
        <w:t>人。</w:t>
      </w:r>
    </w:p>
    <w:p>
      <w:pPr>
        <w:spacing w:line="600" w:lineRule="exact"/>
        <w:ind w:firstLine="600" w:firstLineChars="200"/>
        <w:jc w:val="left"/>
        <w:rPr>
          <w:rFonts w:hint="eastAsia" w:ascii="仿宋" w:hAnsi="仿宋" w:eastAsia="仿宋" w:cs="仿宋"/>
          <w:color w:val="FF0000"/>
          <w:kern w:val="0"/>
          <w:sz w:val="30"/>
          <w:szCs w:val="30"/>
          <w:highlight w:val="none"/>
        </w:rPr>
      </w:pPr>
      <w:r>
        <w:rPr>
          <w:rFonts w:hint="eastAsia" w:ascii="仿宋" w:hAnsi="仿宋" w:eastAsia="仿宋" w:cs="仿宋"/>
          <w:b w:val="0"/>
          <w:bCs w:val="0"/>
          <w:sz w:val="30"/>
          <w:szCs w:val="30"/>
          <w:highlight w:val="none"/>
          <w:u w:val="none"/>
          <w:lang w:val="en-US" w:eastAsia="zh-CN"/>
        </w:rPr>
        <w:t>车辆编制1辆，在编实有车辆1辆，超编0辆。</w:t>
      </w:r>
    </w:p>
    <w:p>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（一）全面推进林长制落地实施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县26名县级林长，完成巡林103次，总督察和副总督察开展县级巡林督察8次，县级共解决问题45件，乡镇（街道）林长巡林478次，村级林长巡林3006次。全县设村级林长75人，村级专管员75人，组级专管员546，生态护林员144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（二）系统加强林草资源保护管理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一是启用2021年林草生态综合监测成果数据和林地保护利用规划林地保护等级优化调整成果。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二是严格强化林业执法，加强涉林问题整改力度。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三是强化野生动植物保护。成功申报华宁县极小种群（华宁蓑衣油杉）项目，救助野生动物20只。牵头组织、协调各部门开展好“清风行动2024”，共出动执法人员282人次，车辆82台次，共检查监督检查场所412次。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四是严格落实公益林、天然林管护责任。开展华宁县森林资源统一管护县级实施方案编制工作，完</w:t>
      </w:r>
      <w:r>
        <w:rPr>
          <w:rFonts w:hint="eastAsia" w:ascii="仿宋" w:hAnsi="仿宋" w:eastAsia="仿宋" w:cs="仿宋"/>
          <w:color w:val="auto"/>
          <w:sz w:val="30"/>
          <w:szCs w:val="30"/>
          <w:lang w:val="en-US" w:eastAsia="zh-CN"/>
        </w:rPr>
        <w:t>成2023年森</w:t>
      </w:r>
      <w:r>
        <w:rPr>
          <w:rFonts w:hint="eastAsia" w:ascii="仿宋" w:hAnsi="仿宋" w:eastAsia="仿宋" w:cs="仿宋"/>
          <w:sz w:val="30"/>
          <w:szCs w:val="30"/>
          <w:lang w:val="en-US" w:eastAsia="zh-CN"/>
        </w:rPr>
        <w:t>林资源管护站点项目立项申报和建设方案编制审批工作、2024年天然林保护修复县级验收工作、2024年全县护林员选聘工作，做好华宁县2024年新开发农村公益性岗位（护林员）补贴项目工作，新开发设置农村公益性岗位护林员岗位29个。</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sz w:val="30"/>
          <w:szCs w:val="30"/>
          <w:lang w:val="en-US" w:eastAsia="zh-CN"/>
        </w:rPr>
        <w:t>五是全面筑牢森林草原“防火墙”，全年实现零火灾。制定出台《华宁县2024年森林草原高火险期火源管控工作方案》，</w:t>
      </w:r>
      <w:r>
        <w:rPr>
          <w:rFonts w:hint="eastAsia" w:ascii="仿宋" w:hAnsi="仿宋" w:eastAsia="仿宋" w:cs="仿宋"/>
          <w:color w:val="000000"/>
          <w:sz w:val="30"/>
          <w:szCs w:val="30"/>
          <w:lang w:val="en-US" w:eastAsia="zh-CN"/>
        </w:rPr>
        <w:t>强化落实五级包保责任和林长包保责任，开展森林草原防火业务培训17次，印发通知书74272份、签订责任书13989份、通告600份，林区路口悬挂宣传标语、布标、刷新宣传标语、标牌745条（块），出动宣传车2085台次，村（社区）喇叭宣传2万余次，五彩旗1000余套、粘贴森林防火命令8000余份，发放宣传单、宣传手册等宣传资料约41740份。配合做好玉溪市重点森林草原防火阻隔系统国债项目建设管理，目前，路基土石方开挖、平整工作已全部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六是抓实林草有害生物监测防控工作。全县累计实施监测面积242.82万亩，监测覆盖率为100.00%，主要林业有害生物常发区监测覆盖率为100.00%，木产地检疫率为100.00%。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（三）提升林草要素保障服务水平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完成建设项目使用林地报件16件，项目预算总投资共计284,071.70万元，征占用林地面积182.79公顷，缴纳森林植被恢复费3,236.58万元，正在组件3件。共计发放采伐许可80张，审批采伐蓄积11,015.80立方米，材积5,489.90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（四）科学开展国土绿化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color w:val="000000"/>
          <w:sz w:val="30"/>
          <w:szCs w:val="30"/>
          <w:lang w:val="en-US" w:eastAsia="zh-CN"/>
        </w:rPr>
        <w:t>一是正在报批23年森林抚育项目1万亩，正在变更林场23年1万亩和24年1.00万亩作业设计。</w:t>
      </w:r>
      <w:r>
        <w:rPr>
          <w:rFonts w:hint="eastAsia" w:ascii="仿宋" w:hAnsi="仿宋" w:eastAsia="仿宋" w:cs="仿宋"/>
          <w:sz w:val="30"/>
          <w:szCs w:val="30"/>
          <w:lang w:val="en-US" w:eastAsia="zh-CN"/>
        </w:rPr>
        <w:t>二是完成新一轮退耕还林检查验收和落地上图核查，兑现补助资金958.58万元。三是2024年城乡绿化美化累计完成投资3,928.00万元，已完成占比110.20%，累计完成绿化面积119.60万平方米（约1,794.00亩），已完成占比105.80%，累计完成种植10.57万株，已完成占比113.92%。完成全县义务植树43.00万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（五）持续推动林草产业提质增效升级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2024年完成全县中药材种植4,354.00亩，建立药材育苗基地2个（60亩），涉及药材种植基地52个；创建经济果木林基地53个，林下养殖基地15个；绿化苗木盆景培育基地42个，创建省级示范基地2个，巩固木本油料基地13个，林菜种植基地71个，林菌示范基地4个。申报评审通过县级基地71个，市级基地4个，申报获批省级林业龙头企业一家。二是全力抓好固定资产投资工作。完成林业固定资产投资项目入库2个，现申报入库1个，完成投资2780万元。三是加大对林草产业的科技投入。组织开展林草科技培训3期，培训人数114人，检验工程苗木26批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（六）坚持党建引领，从严管党治党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一是强化思想建设。全年组织党组理论学习中心组学习8次，职工集中学</w:t>
      </w:r>
      <w:bookmarkStart w:id="1" w:name="_GoBack"/>
      <w:bookmarkEnd w:id="1"/>
      <w:r>
        <w:rPr>
          <w:rFonts w:hint="eastAsia" w:ascii="仿宋" w:hAnsi="仿宋" w:eastAsia="仿宋" w:cs="仿宋"/>
          <w:sz w:val="30"/>
          <w:szCs w:val="30"/>
          <w:lang w:val="en-US" w:eastAsia="zh-CN"/>
        </w:rPr>
        <w:t>习10次。二是加强组织建设。不断夯实支部组织建设，规范党内政治生活，严格落实“三会一课”、主题党日等制度。三是加强廉政教育。组织干部职工参加廉政培训、警示教育等活动2次，切实提高干部职工的廉洁自律意识。</w:t>
      </w:r>
    </w:p>
    <w:p>
      <w:pPr>
        <w:spacing w:line="600" w:lineRule="exact"/>
        <w:ind w:firstLine="600" w:firstLineChars="200"/>
        <w:jc w:val="left"/>
        <w:rPr>
          <w:rFonts w:hint="eastAsia" w:ascii="仿宋_GB2312" w:hAnsi="宋体" w:eastAsia="仿宋_GB2312" w:cs="Arial"/>
          <w:kern w:val="0"/>
          <w:sz w:val="30"/>
          <w:szCs w:val="30"/>
          <w:highlight w:val="none"/>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pPr>
        <w:spacing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本单位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eastAsia="zh-CN"/>
        </w:rPr>
        <w:t>年度无国有资本经营预算财政拨款收入，《国有资本经营预算财政拨款收入支出决算表》为空表</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lang w:val="en-US" w:eastAsia="zh-CN"/>
        </w:rPr>
        <w:t>本单位2024年度无政府性基金预算财政拨款收入，《政府性基金预算财政拨款收入支出决算表》为空表。</w:t>
      </w:r>
    </w:p>
    <w:p>
      <w:pPr>
        <w:spacing w:line="600" w:lineRule="exact"/>
        <w:ind w:firstLine="600" w:firstLineChars="200"/>
        <w:jc w:val="left"/>
        <w:rPr>
          <w:rFonts w:hint="eastAsia" w:ascii="仿宋_GB2312" w:eastAsia="仿宋_GB2312"/>
          <w:sz w:val="30"/>
          <w:szCs w:val="30"/>
          <w:highlight w:val="none"/>
          <w:lang w:eastAsia="zh-CN"/>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widowControl/>
        <w:snapToGrid w:val="0"/>
        <w:spacing w:before="100" w:after="100" w:line="600" w:lineRule="exact"/>
        <w:ind w:firstLine="538"/>
        <w:jc w:val="both"/>
        <w:rPr>
          <w:rFonts w:hint="eastAsia" w:ascii="仿宋" w:hAnsi="仿宋" w:eastAsia="仿宋" w:cs="仿宋"/>
          <w:sz w:val="30"/>
          <w:szCs w:val="30"/>
          <w:highlight w:val="none"/>
          <w:lang w:eastAsia="zh-CN"/>
        </w:rPr>
      </w:pPr>
      <w:r>
        <w:rPr>
          <w:rFonts w:hint="eastAsia" w:ascii="仿宋" w:hAnsi="仿宋" w:eastAsia="仿宋" w:cs="仿宋"/>
          <w:color w:val="auto"/>
          <w:sz w:val="30"/>
          <w:lang w:val="zh-CN"/>
        </w:rPr>
        <w:t>华宁县林业和草原局（本级）</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年度收入合计</w:t>
      </w:r>
      <w:r>
        <w:rPr>
          <w:rFonts w:hint="eastAsia" w:ascii="仿宋" w:hAnsi="仿宋" w:eastAsia="仿宋" w:cs="仿宋"/>
          <w:color w:val="auto"/>
          <w:sz w:val="30"/>
          <w:lang w:val="zh-CN"/>
        </w:rPr>
        <w:t>25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099</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883.80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。其中：财政拨款收入</w:t>
      </w:r>
      <w:r>
        <w:rPr>
          <w:rFonts w:hint="eastAsia" w:ascii="仿宋" w:hAnsi="仿宋" w:eastAsia="仿宋" w:cs="仿宋"/>
          <w:color w:val="auto"/>
          <w:sz w:val="30"/>
          <w:lang w:val="zh-CN"/>
        </w:rPr>
        <w:t>24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934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611.17</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99.34</w:t>
      </w:r>
      <w:r>
        <w:rPr>
          <w:rFonts w:hint="eastAsia" w:ascii="仿宋" w:hAnsi="仿宋" w:eastAsia="仿宋" w:cs="仿宋"/>
          <w:sz w:val="30"/>
          <w:szCs w:val="30"/>
          <w:highlight w:val="none"/>
        </w:rPr>
        <w:t>%；上级补助收入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%；事业收入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元（含教育收费</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%；经营收入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%；附属单位</w:t>
      </w:r>
      <w:r>
        <w:rPr>
          <w:rFonts w:hint="eastAsia" w:ascii="仿宋" w:hAnsi="仿宋" w:eastAsia="仿宋" w:cs="仿宋"/>
          <w:sz w:val="30"/>
          <w:szCs w:val="30"/>
          <w:highlight w:val="none"/>
          <w:lang w:eastAsia="zh-CN"/>
        </w:rPr>
        <w:t>上缴</w:t>
      </w:r>
      <w:r>
        <w:rPr>
          <w:rFonts w:hint="eastAsia" w:ascii="仿宋" w:hAnsi="仿宋" w:eastAsia="仿宋" w:cs="仿宋"/>
          <w:sz w:val="30"/>
          <w:szCs w:val="30"/>
          <w:highlight w:val="none"/>
        </w:rPr>
        <w:t>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%；其他收入</w:t>
      </w:r>
      <w:r>
        <w:rPr>
          <w:rFonts w:hint="eastAsia" w:ascii="仿宋" w:hAnsi="仿宋" w:eastAsia="仿宋" w:cs="仿宋"/>
          <w:color w:val="auto"/>
          <w:sz w:val="30"/>
          <w:lang w:val="zh-CN"/>
        </w:rPr>
        <w:t>165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272.63</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0.66</w:t>
      </w:r>
      <w:r>
        <w:rPr>
          <w:rFonts w:hint="eastAsia" w:ascii="仿宋" w:hAnsi="仿宋" w:eastAsia="仿宋" w:cs="仿宋"/>
          <w:sz w:val="30"/>
          <w:szCs w:val="30"/>
          <w:highlight w:val="none"/>
        </w:rPr>
        <w:t>%。</w:t>
      </w:r>
    </w:p>
    <w:p>
      <w:pPr>
        <w:snapToGrid w:val="0"/>
        <w:spacing w:line="520" w:lineRule="exact"/>
        <w:ind w:firstLine="600" w:firstLineChars="200"/>
        <w:jc w:val="both"/>
        <w:rPr>
          <w:rFonts w:hint="eastAsia" w:ascii="仿宋" w:hAnsi="仿宋" w:eastAsia="仿宋" w:cs="仿宋"/>
          <w:color w:val="FF0000"/>
          <w:kern w:val="0"/>
          <w:sz w:val="30"/>
          <w:szCs w:val="30"/>
          <w:highlight w:val="none"/>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收入合计</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33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984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801.48</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57.52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财政拨款收入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34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076</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043.97</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57.75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上级补助收入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；事业收入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；附属单位上缴收入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；其他收入</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szCs w:val="30"/>
          <w:lang w:val="zh-CN"/>
        </w:rPr>
        <w:t>91242.49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szCs w:val="30"/>
          <w:lang w:val="zh-CN"/>
        </w:rPr>
        <w:t>123.25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是上年因开展一卡通整改工作项目资金拨款较多，本年整改工作减少，项目资金拨款收入较上年减少。</w:t>
      </w:r>
    </w:p>
    <w:p>
      <w:pPr>
        <w:ind w:firstLine="600" w:firstLineChars="200"/>
        <w:jc w:val="both"/>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spacing w:line="600" w:lineRule="exact"/>
        <w:ind w:firstLine="600" w:firstLineChars="200"/>
        <w:jc w:val="both"/>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华宁县林业和草原局（本级）</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年度支出合计</w:t>
      </w:r>
      <w:r>
        <w:rPr>
          <w:rFonts w:hint="eastAsia" w:ascii="仿宋" w:hAnsi="仿宋" w:eastAsia="仿宋" w:cs="仿宋"/>
          <w:color w:val="auto"/>
          <w:sz w:val="30"/>
          <w:lang w:val="zh-CN"/>
        </w:rPr>
        <w:t>25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078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755.65</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w:t>
      </w:r>
      <w:r>
        <w:rPr>
          <w:rFonts w:hint="eastAsia" w:ascii="仿宋" w:hAnsi="仿宋" w:eastAsia="仿宋" w:cs="仿宋"/>
          <w:kern w:val="0"/>
          <w:sz w:val="30"/>
          <w:szCs w:val="30"/>
          <w:highlight w:val="none"/>
        </w:rPr>
        <w:t>基本支出</w:t>
      </w:r>
      <w:r>
        <w:rPr>
          <w:rFonts w:hint="eastAsia" w:ascii="仿宋" w:hAnsi="仿宋" w:eastAsia="仿宋" w:cs="仿宋"/>
          <w:color w:val="auto"/>
          <w:sz w:val="30"/>
          <w:lang w:val="zh-CN"/>
        </w:rPr>
        <w:t>9</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773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565.38</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38.97</w:t>
      </w:r>
      <w:r>
        <w:rPr>
          <w:rFonts w:hint="eastAsia" w:ascii="仿宋" w:hAnsi="仿宋" w:eastAsia="仿宋" w:cs="仿宋"/>
          <w:kern w:val="0"/>
          <w:sz w:val="30"/>
          <w:szCs w:val="30"/>
          <w:highlight w:val="none"/>
        </w:rPr>
        <w:t>％；项目支出</w:t>
      </w:r>
      <w:r>
        <w:rPr>
          <w:rFonts w:hint="eastAsia" w:ascii="仿宋" w:hAnsi="仿宋" w:eastAsia="仿宋" w:cs="仿宋"/>
          <w:color w:val="auto"/>
          <w:sz w:val="30"/>
          <w:lang w:val="zh-CN"/>
        </w:rPr>
        <w:t>15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305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190.27</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61.03</w:t>
      </w:r>
      <w:r>
        <w:rPr>
          <w:rFonts w:hint="eastAsia" w:ascii="仿宋" w:hAnsi="仿宋" w:eastAsia="仿宋" w:cs="仿宋"/>
          <w:kern w:val="0"/>
          <w:sz w:val="30"/>
          <w:szCs w:val="30"/>
          <w:highlight w:val="none"/>
        </w:rPr>
        <w:t>％；上缴上级支出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％；经营支出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％；对附属单位补助支出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w:t>
      </w:r>
    </w:p>
    <w:p>
      <w:pPr>
        <w:snapToGrid w:val="0"/>
        <w:spacing w:line="520" w:lineRule="exact"/>
        <w:ind w:firstLine="600" w:firstLineChars="200"/>
        <w:jc w:val="both"/>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相比，支出</w:t>
      </w:r>
      <w:r>
        <w:rPr>
          <w:rFonts w:hint="eastAsia" w:ascii="仿宋" w:hAnsi="仿宋" w:eastAsia="仿宋" w:cs="仿宋"/>
          <w:sz w:val="30"/>
          <w:szCs w:val="30"/>
          <w:highlight w:val="none"/>
        </w:rPr>
        <w:t>合计</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33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931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899.49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57.50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kern w:val="0"/>
          <w:sz w:val="30"/>
          <w:szCs w:val="30"/>
          <w:highlight w:val="none"/>
        </w:rPr>
        <w:t>基本支出</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25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703.71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0.26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；项目支出</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33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906</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195.78</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w:t>
      </w:r>
      <w:r>
        <w:rPr>
          <w:rFonts w:hint="eastAsia" w:ascii="仿宋" w:hAnsi="仿宋" w:eastAsia="仿宋" w:cs="仿宋"/>
          <w:color w:val="auto"/>
          <w:sz w:val="30"/>
          <w:lang w:val="zh-CN"/>
        </w:rPr>
        <w:t>68.90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；上缴上级支出</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；经营支出</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；对附属单位补助支出</w:t>
      </w:r>
      <w:r>
        <w:rPr>
          <w:rFonts w:hint="eastAsia" w:ascii="仿宋" w:hAnsi="仿宋" w:eastAsia="仿宋" w:cs="仿宋"/>
          <w:sz w:val="30"/>
          <w:szCs w:val="30"/>
          <w:highlight w:val="none"/>
          <w:lang w:val="en-US" w:eastAsia="zh-CN"/>
        </w:rPr>
        <w:t>减少</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lang w:val="en-US" w:eastAsia="zh-CN"/>
        </w:rPr>
        <w:t>下降0.00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是上年因开展一卡通整改工作项目资金拨款较多，本年整改工作减少，项目资金支出较上年减少。</w:t>
      </w:r>
    </w:p>
    <w:p>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widowControl/>
        <w:snapToGrid w:val="0"/>
        <w:spacing w:before="100" w:after="100" w:line="600" w:lineRule="exact"/>
        <w:ind w:firstLine="538"/>
        <w:jc w:val="both"/>
        <w:rPr>
          <w:rFonts w:hint="eastAsia" w:ascii="仿宋" w:hAnsi="仿宋" w:eastAsia="仿宋" w:cs="仿宋"/>
          <w:color w:val="FF0000"/>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华宁县林业和草原局（本级）</w:t>
      </w:r>
      <w:r>
        <w:rPr>
          <w:rFonts w:hint="eastAsia" w:ascii="仿宋" w:hAnsi="仿宋" w:eastAsia="仿宋" w:cs="仿宋"/>
          <w:sz w:val="30"/>
          <w:szCs w:val="30"/>
          <w:highlight w:val="none"/>
        </w:rPr>
        <w:t>机构正常运转的日常支出</w:t>
      </w:r>
      <w:r>
        <w:rPr>
          <w:rFonts w:hint="eastAsia" w:ascii="仿宋" w:hAnsi="仿宋" w:eastAsia="仿宋" w:cs="仿宋"/>
          <w:color w:val="auto"/>
          <w:sz w:val="30"/>
          <w:lang w:val="zh-CN"/>
        </w:rPr>
        <w:t>9</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773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565.38</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基本工资、津贴补贴等人员经费支出</w:t>
      </w:r>
      <w:r>
        <w:rPr>
          <w:rFonts w:hint="eastAsia" w:ascii="仿宋" w:hAnsi="仿宋" w:eastAsia="仿宋" w:cs="仿宋"/>
          <w:color w:val="auto"/>
          <w:sz w:val="30"/>
          <w:lang w:val="zh-CN"/>
        </w:rPr>
        <w:t>9</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385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000.85</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96.02</w:t>
      </w:r>
      <w:r>
        <w:rPr>
          <w:rFonts w:hint="eastAsia" w:ascii="仿宋" w:hAnsi="仿宋" w:eastAsia="仿宋" w:cs="仿宋"/>
          <w:sz w:val="30"/>
          <w:szCs w:val="30"/>
          <w:highlight w:val="none"/>
        </w:rPr>
        <w:t>％；办公费、印刷费、水电费、办公设备购置等公用经费</w:t>
      </w:r>
      <w:r>
        <w:rPr>
          <w:rFonts w:hint="eastAsia" w:ascii="仿宋" w:hAnsi="仿宋" w:eastAsia="仿宋" w:cs="仿宋"/>
          <w:color w:val="auto"/>
          <w:sz w:val="30"/>
          <w:lang w:val="zh-CN"/>
        </w:rPr>
        <w:t>388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564.53</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3.98</w:t>
      </w:r>
      <w:r>
        <w:rPr>
          <w:rFonts w:hint="eastAsia" w:ascii="仿宋" w:hAnsi="仿宋" w:eastAsia="仿宋" w:cs="仿宋"/>
          <w:sz w:val="30"/>
          <w:szCs w:val="30"/>
          <w:highlight w:val="none"/>
        </w:rPr>
        <w:t>％。</w:t>
      </w:r>
    </w:p>
    <w:p>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szCs w:val="30"/>
          <w:lang w:val="zh-CN"/>
        </w:rPr>
        <w:t>华宁县林业和草原局（本级）</w:t>
      </w:r>
      <w:r>
        <w:rPr>
          <w:rFonts w:hint="eastAsia" w:ascii="仿宋" w:hAnsi="仿宋" w:eastAsia="仿宋" w:cs="仿宋"/>
          <w:sz w:val="30"/>
          <w:szCs w:val="30"/>
          <w:highlight w:val="none"/>
        </w:rPr>
        <w:t>为完成特定的行政工作任务或事业发展目标，用于专项业务工作的经费支出</w:t>
      </w:r>
      <w:r>
        <w:rPr>
          <w:rFonts w:hint="eastAsia" w:ascii="仿宋" w:hAnsi="仿宋" w:eastAsia="仿宋" w:cs="仿宋"/>
          <w:color w:val="auto"/>
          <w:sz w:val="30"/>
          <w:szCs w:val="30"/>
          <w:lang w:val="zh-CN"/>
        </w:rPr>
        <w:t>15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val="zh-CN"/>
        </w:rPr>
        <w:t>305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val="zh-CN"/>
        </w:rPr>
        <w:t>190.27</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其中：基本建设类项目支出</w:t>
      </w:r>
      <w:r>
        <w:rPr>
          <w:rFonts w:hint="eastAsia" w:ascii="仿宋" w:hAnsi="仿宋" w:eastAsia="仿宋" w:cs="仿宋"/>
          <w:color w:val="auto"/>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。森林生态效益补偿</w:t>
      </w:r>
      <w:r>
        <w:rPr>
          <w:rFonts w:hint="eastAsia" w:ascii="仿宋" w:hAnsi="仿宋" w:eastAsia="仿宋" w:cs="仿宋"/>
          <w:sz w:val="30"/>
          <w:szCs w:val="30"/>
          <w:highlight w:val="none"/>
          <w:lang w:eastAsia="zh-CN"/>
        </w:rPr>
        <w:t>资金支出</w:t>
      </w:r>
      <w:r>
        <w:rPr>
          <w:rFonts w:hint="eastAsia" w:ascii="仿宋" w:hAnsi="仿宋" w:eastAsia="仿宋" w:cs="仿宋"/>
          <w:sz w:val="30"/>
          <w:szCs w:val="30"/>
          <w:highlight w:val="none"/>
          <w:lang w:val="en-US" w:eastAsia="zh-CN"/>
        </w:rPr>
        <w:t>2,586,641.41</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森林草原防火经费支出</w:t>
      </w:r>
      <w:r>
        <w:rPr>
          <w:rFonts w:hint="eastAsia" w:ascii="仿宋" w:hAnsi="仿宋" w:eastAsia="仿宋" w:cs="仿宋"/>
          <w:sz w:val="30"/>
          <w:szCs w:val="30"/>
          <w:highlight w:val="none"/>
          <w:lang w:val="en-US" w:eastAsia="zh-CN"/>
        </w:rPr>
        <w:t>800,891.46</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造林补助支出</w:t>
      </w:r>
      <w:r>
        <w:rPr>
          <w:rFonts w:hint="eastAsia" w:ascii="仿宋" w:hAnsi="仿宋" w:eastAsia="仿宋" w:cs="仿宋"/>
          <w:sz w:val="30"/>
          <w:szCs w:val="30"/>
          <w:highlight w:val="none"/>
          <w:lang w:val="en-US" w:eastAsia="zh-CN"/>
        </w:rPr>
        <w:t>50,000.00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天然商品林停伐管护补助资金支出</w:t>
      </w:r>
      <w:r>
        <w:rPr>
          <w:rFonts w:hint="eastAsia" w:ascii="仿宋" w:hAnsi="仿宋" w:eastAsia="仿宋" w:cs="仿宋"/>
          <w:sz w:val="30"/>
          <w:szCs w:val="30"/>
          <w:highlight w:val="none"/>
          <w:lang w:val="en-US" w:eastAsia="zh-CN"/>
        </w:rPr>
        <w:t>1,536,000.00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业务工作经费支出</w:t>
      </w:r>
      <w:r>
        <w:rPr>
          <w:rFonts w:hint="eastAsia" w:ascii="仿宋" w:hAnsi="仿宋" w:eastAsia="仿宋" w:cs="仿宋"/>
          <w:sz w:val="30"/>
          <w:szCs w:val="30"/>
          <w:highlight w:val="none"/>
          <w:lang w:val="en-US" w:eastAsia="zh-CN"/>
        </w:rPr>
        <w:t>195,800.00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新一轮退耕还林还草补助资金支出</w:t>
      </w:r>
      <w:r>
        <w:rPr>
          <w:rFonts w:hint="eastAsia" w:ascii="仿宋" w:hAnsi="仿宋" w:eastAsia="仿宋" w:cs="仿宋"/>
          <w:sz w:val="30"/>
          <w:szCs w:val="30"/>
          <w:highlight w:val="none"/>
          <w:lang w:val="en-US" w:eastAsia="zh-CN"/>
        </w:rPr>
        <w:t>9,585,752.00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蓑衣油杉极小种群保护项目资金支出</w:t>
      </w:r>
      <w:r>
        <w:rPr>
          <w:rFonts w:hint="eastAsia" w:ascii="仿宋" w:hAnsi="仿宋" w:eastAsia="仿宋" w:cs="仿宋"/>
          <w:sz w:val="30"/>
          <w:szCs w:val="30"/>
          <w:highlight w:val="none"/>
          <w:lang w:val="en-US" w:eastAsia="zh-CN"/>
        </w:rPr>
        <w:t>200,000.00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义务植树经费支出</w:t>
      </w:r>
      <w:r>
        <w:rPr>
          <w:rFonts w:hint="eastAsia" w:ascii="仿宋" w:hAnsi="仿宋" w:eastAsia="仿宋" w:cs="仿宋"/>
          <w:sz w:val="30"/>
          <w:szCs w:val="30"/>
          <w:highlight w:val="none"/>
          <w:lang w:val="en-US" w:eastAsia="zh-CN"/>
        </w:rPr>
        <w:t>43,140.00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将军山林草管护站建设经费支出</w:t>
      </w:r>
      <w:r>
        <w:rPr>
          <w:rFonts w:hint="eastAsia" w:ascii="仿宋" w:hAnsi="仿宋" w:eastAsia="仿宋" w:cs="仿宋"/>
          <w:sz w:val="30"/>
          <w:szCs w:val="30"/>
          <w:highlight w:val="none"/>
          <w:lang w:val="en-US" w:eastAsia="zh-CN"/>
        </w:rPr>
        <w:t>35,000.00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死亡抚恤金及遗属生活补助支出</w:t>
      </w:r>
      <w:r>
        <w:rPr>
          <w:rFonts w:hint="eastAsia" w:ascii="仿宋" w:hAnsi="仿宋" w:eastAsia="仿宋" w:cs="仿宋"/>
          <w:sz w:val="30"/>
          <w:szCs w:val="30"/>
          <w:highlight w:val="none"/>
          <w:lang w:val="en-US" w:eastAsia="zh-CN"/>
        </w:rPr>
        <w:t>271,965.40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pPr>
        <w:widowControl/>
        <w:snapToGrid w:val="0"/>
        <w:spacing w:before="100" w:after="100" w:line="600" w:lineRule="exact"/>
        <w:ind w:firstLine="600" w:firstLineChars="200"/>
        <w:jc w:val="both"/>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widowControl/>
        <w:snapToGrid w:val="0"/>
        <w:spacing w:before="100" w:after="100" w:line="600" w:lineRule="exact"/>
        <w:ind w:firstLine="600" w:firstLineChars="200"/>
        <w:jc w:val="both"/>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华宁县林业和草原局（本级）</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年度一般公共预算财政拨款支出</w:t>
      </w:r>
      <w:r>
        <w:rPr>
          <w:rFonts w:hint="eastAsia" w:ascii="仿宋" w:hAnsi="仿宋" w:eastAsia="仿宋" w:cs="仿宋"/>
          <w:color w:val="auto"/>
          <w:kern w:val="0"/>
          <w:sz w:val="30"/>
          <w:lang w:val="zh-CN"/>
        </w:rPr>
        <w:t>24</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934</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611.17</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,占本年支出合计的</w:t>
      </w:r>
      <w:r>
        <w:rPr>
          <w:rFonts w:hint="eastAsia" w:ascii="仿宋" w:hAnsi="仿宋" w:eastAsia="仿宋" w:cs="仿宋"/>
          <w:color w:val="auto"/>
          <w:sz w:val="30"/>
          <w:lang w:val="zh-CN"/>
        </w:rPr>
        <w:t>99.43</w:t>
      </w:r>
      <w:r>
        <w:rPr>
          <w:rFonts w:hint="eastAsia" w:ascii="仿宋" w:hAnsi="仿宋" w:eastAsia="仿宋" w:cs="仿宋"/>
          <w:kern w:val="0"/>
          <w:sz w:val="30"/>
          <w:szCs w:val="30"/>
          <w:highlight w:val="none"/>
        </w:rPr>
        <w:t>%。与上年</w:t>
      </w:r>
      <w:r>
        <w:rPr>
          <w:rFonts w:hint="eastAsia" w:ascii="仿宋" w:hAnsi="仿宋" w:eastAsia="仿宋" w:cs="仿宋"/>
          <w:kern w:val="0"/>
          <w:sz w:val="30"/>
          <w:szCs w:val="30"/>
          <w:highlight w:val="none"/>
          <w:lang w:eastAsia="zh-CN"/>
        </w:rPr>
        <w:t>相比</w:t>
      </w:r>
      <w:r>
        <w:rPr>
          <w:rFonts w:hint="eastAsia" w:ascii="仿宋" w:hAnsi="仿宋" w:eastAsia="仿宋" w:cs="仿宋"/>
          <w:kern w:val="0"/>
          <w:sz w:val="30"/>
          <w:szCs w:val="30"/>
          <w:highlight w:val="none"/>
        </w:rPr>
        <w:t>减少</w:t>
      </w:r>
      <w:r>
        <w:rPr>
          <w:rFonts w:hint="eastAsia" w:ascii="仿宋" w:hAnsi="仿宋" w:eastAsia="仿宋" w:cs="仿宋"/>
          <w:color w:val="auto"/>
          <w:kern w:val="0"/>
          <w:sz w:val="30"/>
          <w:lang w:val="zh-CN"/>
        </w:rPr>
        <w:t>34</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076</w:t>
      </w: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zh-CN"/>
        </w:rPr>
        <w:t>043.97</w:t>
      </w:r>
      <w:r>
        <w:rPr>
          <w:rFonts w:hint="eastAsia" w:ascii="仿宋" w:hAnsi="仿宋" w:eastAsia="仿宋" w:cs="仿宋"/>
          <w:kern w:val="0"/>
          <w:sz w:val="30"/>
          <w:szCs w:val="30"/>
          <w:highlight w:val="none"/>
        </w:rPr>
        <w:t>元，下降</w:t>
      </w:r>
      <w:r>
        <w:rPr>
          <w:rFonts w:hint="eastAsia" w:ascii="仿宋" w:hAnsi="仿宋" w:eastAsia="仿宋" w:cs="仿宋"/>
          <w:color w:val="auto"/>
          <w:kern w:val="0"/>
          <w:sz w:val="30"/>
          <w:lang w:val="zh-CN"/>
        </w:rPr>
        <w:t>57.75</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sz w:val="30"/>
          <w:lang w:val="zh-CN"/>
        </w:rPr>
        <w:t>226.18</w:t>
      </w:r>
      <w:r>
        <w:rPr>
          <w:rFonts w:hint="eastAsia" w:ascii="仿宋" w:hAnsi="仿宋" w:eastAsia="仿宋" w:cs="仿宋"/>
          <w:sz w:val="30"/>
          <w:szCs w:val="30"/>
          <w:highlight w:val="none"/>
          <w:lang w:val="en-US" w:eastAsia="zh-CN"/>
        </w:rPr>
        <w:t>%</w:t>
      </w:r>
      <w:r>
        <w:rPr>
          <w:rFonts w:hint="eastAsia" w:ascii="仿宋" w:hAnsi="仿宋" w:eastAsia="仿宋" w:cs="仿宋"/>
          <w:kern w:val="0"/>
          <w:sz w:val="30"/>
          <w:szCs w:val="30"/>
          <w:highlight w:val="none"/>
        </w:rPr>
        <w:t>。</w:t>
      </w:r>
    </w:p>
    <w:p>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1.一般公共服务（类）支出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2.外交（类）支出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3.国防（类）支出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r>
        <w:rPr>
          <w:rFonts w:hint="eastAsia" w:ascii="仿宋" w:hAnsi="仿宋" w:eastAsia="仿宋" w:cs="仿宋"/>
          <w:color w:val="000000" w:themeColor="text1"/>
          <w:sz w:val="30"/>
          <w:szCs w:val="30"/>
          <w:lang w:val="en-US" w:eastAsia="zh-CN"/>
          <w14:textFill>
            <w14:solidFill>
              <w14:schemeClr w14:val="tx1"/>
            </w14:solidFill>
          </w14:textFill>
        </w:rPr>
        <w:t>;</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4.公共安全（类）支出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r>
        <w:rPr>
          <w:rFonts w:hint="eastAsia" w:ascii="仿宋" w:hAnsi="仿宋" w:eastAsia="仿宋" w:cs="仿宋"/>
          <w:color w:val="000000" w:themeColor="text1"/>
          <w:sz w:val="30"/>
          <w:szCs w:val="30"/>
          <w:lang w:val="en-US" w:eastAsia="zh-CN"/>
          <w14:textFill>
            <w14:solidFill>
              <w14:schemeClr w14:val="tx1"/>
            </w14:solidFill>
          </w14:textFill>
        </w:rPr>
        <w:t>;</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5.教育（类）支出</w:t>
      </w:r>
      <w:r>
        <w:rPr>
          <w:rFonts w:hint="eastAsia" w:ascii="仿宋" w:hAnsi="仿宋" w:eastAsia="仿宋" w:cs="仿宋"/>
          <w:color w:val="000000" w:themeColor="text1"/>
          <w:kern w:val="0"/>
          <w:sz w:val="30"/>
          <w:lang w:val="en-US" w:eastAsia="zh-CN"/>
          <w14:textFill>
            <w14:solidFill>
              <w14:schemeClr w14:val="tx1"/>
            </w14:solidFill>
          </w14:textFill>
        </w:rPr>
        <w:t>0.00</w:t>
      </w:r>
      <w:r>
        <w:rPr>
          <w:rFonts w:hint="eastAsia" w:ascii="仿宋" w:hAnsi="仿宋" w:eastAsia="仿宋" w:cs="仿宋"/>
          <w:color w:val="000000" w:themeColor="text1"/>
          <w:kern w:val="0"/>
          <w:sz w:val="30"/>
          <w:lang w:val="en-US"/>
          <w14:textFill>
            <w14:solidFill>
              <w14:schemeClr w14:val="tx1"/>
            </w14:solidFill>
          </w14:textFill>
        </w:rPr>
        <w:t>元，</w:t>
      </w:r>
      <w:r>
        <w:rPr>
          <w:rFonts w:hint="eastAsia" w:ascii="仿宋" w:hAnsi="仿宋" w:eastAsia="仿宋" w:cs="仿宋"/>
          <w:color w:val="000000" w:themeColor="text1"/>
          <w:sz w:val="30"/>
          <w:lang w:val="en-US"/>
          <w14:textFill>
            <w14:solidFill>
              <w14:schemeClr w14:val="tx1"/>
            </w14:solidFill>
          </w14:textFill>
        </w:rPr>
        <w:t>占一般公共预算财政拨款总支出的</w:t>
      </w:r>
      <w:r>
        <w:rPr>
          <w:rFonts w:hint="eastAsia" w:ascii="仿宋" w:hAnsi="仿宋" w:eastAsia="仿宋" w:cs="仿宋"/>
          <w:color w:val="000000" w:themeColor="text1"/>
          <w:sz w:val="30"/>
          <w:lang w:val="en-US" w:eastAsia="zh-CN"/>
          <w14:textFill>
            <w14:solidFill>
              <w14:schemeClr w14:val="tx1"/>
            </w14:solidFill>
          </w14:textFill>
        </w:rPr>
        <w:t>0.00</w:t>
      </w:r>
      <w:r>
        <w:rPr>
          <w:rFonts w:hint="eastAsia" w:ascii="仿宋" w:hAnsi="仿宋" w:eastAsia="仿宋" w:cs="仿宋"/>
          <w:color w:val="000000" w:themeColor="text1"/>
          <w:sz w:val="30"/>
          <w:lang w:val="en-US"/>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r>
        <w:rPr>
          <w:rFonts w:hint="eastAsia" w:ascii="仿宋" w:hAnsi="仿宋" w:eastAsia="仿宋" w:cs="仿宋"/>
          <w:color w:val="000000" w:themeColor="text1"/>
          <w:sz w:val="30"/>
          <w:szCs w:val="30"/>
          <w:lang w:val="en-US" w:eastAsia="zh-CN"/>
          <w14:textFill>
            <w14:solidFill>
              <w14:schemeClr w14:val="tx1"/>
            </w14:solidFill>
          </w14:textFill>
        </w:rPr>
        <w:t>;</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6.科学技术（类）支出</w:t>
      </w:r>
      <w:r>
        <w:rPr>
          <w:rFonts w:hint="eastAsia" w:ascii="仿宋" w:hAnsi="仿宋" w:eastAsia="仿宋" w:cs="仿宋"/>
          <w:color w:val="000000" w:themeColor="text1"/>
          <w:kern w:val="0"/>
          <w:sz w:val="30"/>
          <w:lang w:val="en-US" w:eastAsia="zh-CN"/>
          <w14:textFill>
            <w14:solidFill>
              <w14:schemeClr w14:val="tx1"/>
            </w14:solidFill>
          </w14:textFill>
        </w:rPr>
        <w:t>0.00</w:t>
      </w:r>
      <w:r>
        <w:rPr>
          <w:rFonts w:hint="eastAsia" w:ascii="仿宋" w:hAnsi="仿宋" w:eastAsia="仿宋" w:cs="仿宋"/>
          <w:color w:val="000000" w:themeColor="text1"/>
          <w:kern w:val="0"/>
          <w:sz w:val="30"/>
          <w:lang w:val="en-US"/>
          <w14:textFill>
            <w14:solidFill>
              <w14:schemeClr w14:val="tx1"/>
            </w14:solidFill>
          </w14:textFill>
        </w:rPr>
        <w:t>元，</w:t>
      </w:r>
      <w:r>
        <w:rPr>
          <w:rFonts w:hint="eastAsia" w:ascii="仿宋" w:hAnsi="仿宋" w:eastAsia="仿宋" w:cs="仿宋"/>
          <w:color w:val="000000" w:themeColor="text1"/>
          <w:sz w:val="30"/>
          <w:lang w:val="en-US"/>
          <w14:textFill>
            <w14:solidFill>
              <w14:schemeClr w14:val="tx1"/>
            </w14:solidFill>
          </w14:textFill>
        </w:rPr>
        <w:t>占一般公共预算财政拨款总支出的</w:t>
      </w:r>
      <w:r>
        <w:rPr>
          <w:rFonts w:hint="eastAsia" w:ascii="仿宋" w:hAnsi="仿宋" w:eastAsia="仿宋" w:cs="仿宋"/>
          <w:color w:val="000000" w:themeColor="text1"/>
          <w:sz w:val="30"/>
          <w:lang w:val="en-US" w:eastAsia="zh-CN"/>
          <w14:textFill>
            <w14:solidFill>
              <w14:schemeClr w14:val="tx1"/>
            </w14:solidFill>
          </w14:textFill>
        </w:rPr>
        <w:t>0.00</w:t>
      </w:r>
      <w:r>
        <w:rPr>
          <w:rFonts w:hint="eastAsia" w:ascii="仿宋" w:hAnsi="仿宋" w:eastAsia="仿宋" w:cs="仿宋"/>
          <w:color w:val="000000" w:themeColor="text1"/>
          <w:sz w:val="30"/>
          <w:lang w:val="en-US"/>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r>
        <w:rPr>
          <w:rFonts w:hint="eastAsia" w:ascii="仿宋" w:hAnsi="仿宋" w:eastAsia="仿宋" w:cs="仿宋"/>
          <w:color w:val="000000" w:themeColor="text1"/>
          <w:sz w:val="30"/>
          <w:szCs w:val="30"/>
          <w:lang w:val="en-US" w:eastAsia="zh-CN"/>
          <w14:textFill>
            <w14:solidFill>
              <w14:schemeClr w14:val="tx1"/>
            </w14:solidFill>
          </w14:textFill>
        </w:rPr>
        <w:t>;</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7.文化旅游体育与传媒（类）支出</w:t>
      </w:r>
      <w:r>
        <w:rPr>
          <w:rFonts w:hint="eastAsia" w:ascii="仿宋" w:hAnsi="仿宋" w:eastAsia="仿宋" w:cs="仿宋"/>
          <w:color w:val="000000" w:themeColor="text1"/>
          <w:kern w:val="0"/>
          <w:sz w:val="30"/>
          <w:lang w:val="en-US" w:eastAsia="zh-CN"/>
          <w14:textFill>
            <w14:solidFill>
              <w14:schemeClr w14:val="tx1"/>
            </w14:solidFill>
          </w14:textFill>
        </w:rPr>
        <w:t>0.00</w:t>
      </w:r>
      <w:r>
        <w:rPr>
          <w:rFonts w:hint="eastAsia" w:ascii="仿宋" w:hAnsi="仿宋" w:eastAsia="仿宋" w:cs="仿宋"/>
          <w:color w:val="000000" w:themeColor="text1"/>
          <w:kern w:val="0"/>
          <w:sz w:val="30"/>
          <w:lang w:val="en-US"/>
          <w14:textFill>
            <w14:solidFill>
              <w14:schemeClr w14:val="tx1"/>
            </w14:solidFill>
          </w14:textFill>
        </w:rPr>
        <w:t>元，</w:t>
      </w:r>
      <w:r>
        <w:rPr>
          <w:rFonts w:hint="eastAsia" w:ascii="仿宋" w:hAnsi="仿宋" w:eastAsia="仿宋" w:cs="仿宋"/>
          <w:color w:val="000000" w:themeColor="text1"/>
          <w:sz w:val="30"/>
          <w:lang w:val="en-US"/>
          <w14:textFill>
            <w14:solidFill>
              <w14:schemeClr w14:val="tx1"/>
            </w14:solidFill>
          </w14:textFill>
        </w:rPr>
        <w:t>占一般公共预算财政拨款总支出的</w:t>
      </w:r>
      <w:r>
        <w:rPr>
          <w:rFonts w:hint="eastAsia" w:ascii="仿宋" w:hAnsi="仿宋" w:eastAsia="仿宋" w:cs="仿宋"/>
          <w:color w:val="000000" w:themeColor="text1"/>
          <w:sz w:val="30"/>
          <w:lang w:val="en-US" w:eastAsia="zh-CN"/>
          <w14:textFill>
            <w14:solidFill>
              <w14:schemeClr w14:val="tx1"/>
            </w14:solidFill>
          </w14:textFill>
        </w:rPr>
        <w:t>0.00</w:t>
      </w:r>
      <w:r>
        <w:rPr>
          <w:rFonts w:hint="eastAsia" w:ascii="仿宋" w:hAnsi="仿宋" w:eastAsia="仿宋" w:cs="仿宋"/>
          <w:color w:val="000000" w:themeColor="text1"/>
          <w:sz w:val="30"/>
          <w:lang w:val="en-US"/>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r>
        <w:rPr>
          <w:rFonts w:hint="eastAsia" w:ascii="仿宋" w:hAnsi="仿宋" w:eastAsia="仿宋" w:cs="仿宋"/>
          <w:color w:val="000000" w:themeColor="text1"/>
          <w:sz w:val="30"/>
          <w:szCs w:val="30"/>
          <w:lang w:val="en-US" w:eastAsia="zh-CN"/>
          <w14:textFill>
            <w14:solidFill>
              <w14:schemeClr w14:val="tx1"/>
            </w14:solidFill>
          </w14:textFill>
        </w:rPr>
        <w:t>;</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8.社会保障和就业（类）支出</w:t>
      </w:r>
      <w:r>
        <w:rPr>
          <w:rFonts w:hint="eastAsia" w:ascii="仿宋" w:hAnsi="仿宋" w:eastAsia="仿宋" w:cs="仿宋"/>
          <w:color w:val="000000" w:themeColor="text1"/>
          <w:kern w:val="0"/>
          <w:sz w:val="30"/>
          <w:lang w:val="en-US" w:eastAsia="zh-CN"/>
          <w14:textFill>
            <w14:solidFill>
              <w14:schemeClr w14:val="tx1"/>
            </w14:solidFill>
          </w14:textFill>
        </w:rPr>
        <w:t>1,179,426.20</w:t>
      </w:r>
      <w:r>
        <w:rPr>
          <w:rFonts w:hint="eastAsia" w:ascii="仿宋" w:hAnsi="仿宋" w:eastAsia="仿宋" w:cs="仿宋"/>
          <w:color w:val="000000" w:themeColor="text1"/>
          <w:kern w:val="0"/>
          <w:sz w:val="30"/>
          <w:lang w:val="en-US"/>
          <w14:textFill>
            <w14:solidFill>
              <w14:schemeClr w14:val="tx1"/>
            </w14:solidFill>
          </w14:textFill>
        </w:rPr>
        <w:t>元，</w:t>
      </w:r>
      <w:r>
        <w:rPr>
          <w:rFonts w:hint="eastAsia" w:ascii="仿宋" w:hAnsi="仿宋" w:eastAsia="仿宋" w:cs="仿宋"/>
          <w:color w:val="000000" w:themeColor="text1"/>
          <w:sz w:val="30"/>
          <w:lang w:val="en-US"/>
          <w14:textFill>
            <w14:solidFill>
              <w14:schemeClr w14:val="tx1"/>
            </w14:solidFill>
          </w14:textFill>
        </w:rPr>
        <w:t>占一般公共预算财政拨款总支出的</w:t>
      </w:r>
      <w:r>
        <w:rPr>
          <w:rFonts w:hint="eastAsia" w:ascii="仿宋" w:hAnsi="仿宋" w:eastAsia="仿宋" w:cs="仿宋"/>
          <w:color w:val="000000" w:themeColor="text1"/>
          <w:sz w:val="30"/>
          <w:lang w:val="en-US" w:eastAsia="zh-CN"/>
          <w14:textFill>
            <w14:solidFill>
              <w14:schemeClr w14:val="tx1"/>
            </w14:solidFill>
          </w14:textFill>
        </w:rPr>
        <w:t>4.73</w:t>
      </w:r>
      <w:r>
        <w:rPr>
          <w:rFonts w:hint="eastAsia" w:ascii="仿宋" w:hAnsi="仿宋" w:eastAsia="仿宋" w:cs="仿宋"/>
          <w:color w:val="000000" w:themeColor="text1"/>
          <w:sz w:val="30"/>
          <w:lang w:val="en-US"/>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完成年初预算的</w:t>
      </w:r>
      <w:r>
        <w:rPr>
          <w:rFonts w:hint="eastAsia" w:ascii="仿宋" w:hAnsi="仿宋" w:eastAsia="仿宋" w:cs="仿宋"/>
          <w:color w:val="000000" w:themeColor="text1"/>
          <w:kern w:val="0"/>
          <w:sz w:val="30"/>
          <w:lang w:val="zh-CN"/>
          <w14:textFill>
            <w14:solidFill>
              <w14:schemeClr w14:val="tx1"/>
            </w14:solidFill>
          </w14:textFill>
        </w:rPr>
        <w:t>71.27</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主要用于机关事业单位基本养老保险缴费支出及失业、工伤、生育保险基金的补助</w:t>
      </w:r>
      <w:r>
        <w:rPr>
          <w:rFonts w:hint="eastAsia" w:ascii="仿宋" w:hAnsi="仿宋" w:eastAsia="仿宋" w:cs="仿宋"/>
          <w:color w:val="000000" w:themeColor="text1"/>
          <w:sz w:val="30"/>
          <w:szCs w:val="30"/>
          <w:lang w:eastAsia="zh-CN"/>
          <w14:textFill>
            <w14:solidFill>
              <w14:schemeClr w14:val="tx1"/>
            </w14:solidFill>
          </w14:textFill>
        </w:rPr>
        <w:t>支出；</w:t>
      </w:r>
    </w:p>
    <w:p>
      <w:pPr>
        <w:spacing w:before="100" w:beforeLines="0" w:after="100" w:afterLines="0" w:line="360" w:lineRule="auto"/>
        <w:ind w:firstLine="6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9.卫生健康（类）支出</w:t>
      </w:r>
      <w:r>
        <w:rPr>
          <w:rFonts w:hint="eastAsia" w:ascii="仿宋" w:hAnsi="仿宋" w:eastAsia="仿宋" w:cs="仿宋"/>
          <w:color w:val="000000" w:themeColor="text1"/>
          <w:kern w:val="0"/>
          <w:sz w:val="30"/>
          <w:lang w:val="zh-CN"/>
          <w14:textFill>
            <w14:solidFill>
              <w14:schemeClr w14:val="tx1"/>
            </w14:solidFill>
          </w14:textFill>
        </w:rPr>
        <w:t>877</w:t>
      </w:r>
      <w:r>
        <w:rPr>
          <w:rFonts w:hint="eastAsia" w:ascii="仿宋" w:hAnsi="仿宋" w:eastAsia="仿宋" w:cs="仿宋"/>
          <w:color w:val="000000" w:themeColor="text1"/>
          <w:kern w:val="0"/>
          <w:sz w:val="30"/>
          <w:lang w:val="en-US" w:eastAsia="zh-CN"/>
          <w14:textFill>
            <w14:solidFill>
              <w14:schemeClr w14:val="tx1"/>
            </w14:solidFill>
          </w14:textFill>
        </w:rPr>
        <w:t>,</w:t>
      </w:r>
      <w:r>
        <w:rPr>
          <w:rFonts w:hint="eastAsia" w:ascii="仿宋" w:hAnsi="仿宋" w:eastAsia="仿宋" w:cs="仿宋"/>
          <w:color w:val="000000" w:themeColor="text1"/>
          <w:kern w:val="0"/>
          <w:sz w:val="30"/>
          <w:lang w:val="zh-CN"/>
          <w14:textFill>
            <w14:solidFill>
              <w14:schemeClr w14:val="tx1"/>
            </w14:solidFill>
          </w14:textFill>
        </w:rPr>
        <w:t>283.69</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3.52</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完成年初预算的</w:t>
      </w:r>
      <w:r>
        <w:rPr>
          <w:rFonts w:hint="eastAsia" w:ascii="仿宋" w:hAnsi="仿宋" w:eastAsia="仿宋" w:cs="仿宋"/>
          <w:color w:val="000000" w:themeColor="text1"/>
          <w:kern w:val="0"/>
          <w:sz w:val="30"/>
          <w:lang w:val="zh-CN"/>
          <w14:textFill>
            <w14:solidFill>
              <w14:schemeClr w14:val="tx1"/>
            </w14:solidFill>
          </w14:textFill>
        </w:rPr>
        <w:t>95.54</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主要用于行政事业单位医疗及公务员医疗补助</w:t>
      </w:r>
      <w:r>
        <w:rPr>
          <w:rFonts w:hint="eastAsia" w:ascii="仿宋" w:hAnsi="仿宋" w:eastAsia="仿宋" w:cs="仿宋"/>
          <w:color w:val="000000" w:themeColor="text1"/>
          <w:sz w:val="30"/>
          <w:szCs w:val="30"/>
          <w:lang w:eastAsia="zh-CN"/>
          <w14:textFill>
            <w14:solidFill>
              <w14:schemeClr w14:val="tx1"/>
            </w14:solidFill>
          </w14:textFill>
        </w:rPr>
        <w:t>支出；</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spacing w:before="100" w:beforeLines="0" w:after="100" w:afterLines="0" w:line="360" w:lineRule="auto"/>
        <w:ind w:firstLine="600"/>
        <w:jc w:val="both"/>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10.节能环保（类）支出</w:t>
      </w:r>
      <w:r>
        <w:rPr>
          <w:rFonts w:hint="eastAsia" w:ascii="仿宋" w:hAnsi="仿宋" w:eastAsia="仿宋" w:cs="仿宋"/>
          <w:color w:val="000000" w:themeColor="text1"/>
          <w:kern w:val="0"/>
          <w:sz w:val="30"/>
          <w:lang w:val="zh-CN"/>
          <w14:textFill>
            <w14:solidFill>
              <w14:schemeClr w14:val="tx1"/>
            </w14:solidFill>
          </w14:textFill>
        </w:rPr>
        <w:t>200</w:t>
      </w:r>
      <w:r>
        <w:rPr>
          <w:rFonts w:hint="eastAsia" w:ascii="仿宋" w:hAnsi="仿宋" w:eastAsia="仿宋" w:cs="仿宋"/>
          <w:color w:val="000000" w:themeColor="text1"/>
          <w:kern w:val="0"/>
          <w:sz w:val="30"/>
          <w:lang w:val="en-US" w:eastAsia="zh-CN"/>
          <w14:textFill>
            <w14:solidFill>
              <w14:schemeClr w14:val="tx1"/>
            </w14:solidFill>
          </w14:textFill>
        </w:rPr>
        <w:t>,</w:t>
      </w:r>
      <w:r>
        <w:rPr>
          <w:rFonts w:hint="eastAsia" w:ascii="仿宋" w:hAnsi="仿宋" w:eastAsia="仿宋" w:cs="仿宋"/>
          <w:color w:val="000000" w:themeColor="text1"/>
          <w:kern w:val="0"/>
          <w:sz w:val="30"/>
          <w:lang w:val="zh-CN"/>
          <w14:textFill>
            <w14:solidFill>
              <w14:schemeClr w14:val="tx1"/>
            </w14:solidFill>
          </w14:textFill>
        </w:rPr>
        <w:t>000.00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0.80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主要用</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于华宁县2024年极小种群蓑衣油杉保护项目</w:t>
      </w:r>
      <w:r>
        <w:rPr>
          <w:rFonts w:hint="eastAsia" w:ascii="仿宋" w:hAnsi="仿宋" w:eastAsia="仿宋" w:cs="仿宋"/>
          <w:color w:val="000000" w:themeColor="text1"/>
          <w:sz w:val="30"/>
          <w:szCs w:val="30"/>
          <w:shd w:val="clear" w:color="auto" w:fill="FFFFFF"/>
          <w14:textFill>
            <w14:solidFill>
              <w14:schemeClr w14:val="tx1"/>
            </w14:solidFill>
          </w14:textFill>
        </w:rPr>
        <w:t>支出</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11.城乡社区（类）支出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12.农林水（类）支出</w:t>
      </w:r>
      <w:r>
        <w:rPr>
          <w:rFonts w:hint="eastAsia" w:ascii="仿宋" w:hAnsi="仿宋" w:eastAsia="仿宋" w:cs="仿宋"/>
          <w:color w:val="000000" w:themeColor="text1"/>
          <w:kern w:val="0"/>
          <w:sz w:val="30"/>
          <w:lang w:val="zh-CN"/>
          <w14:textFill>
            <w14:solidFill>
              <w14:schemeClr w14:val="tx1"/>
            </w14:solidFill>
          </w14:textFill>
        </w:rPr>
        <w:t>21</w:t>
      </w:r>
      <w:r>
        <w:rPr>
          <w:rFonts w:hint="eastAsia" w:ascii="仿宋" w:hAnsi="仿宋" w:eastAsia="仿宋" w:cs="仿宋"/>
          <w:color w:val="000000" w:themeColor="text1"/>
          <w:kern w:val="0"/>
          <w:sz w:val="30"/>
          <w:lang w:val="en-US" w:eastAsia="zh-CN"/>
          <w14:textFill>
            <w14:solidFill>
              <w14:schemeClr w14:val="tx1"/>
            </w14:solidFill>
          </w14:textFill>
        </w:rPr>
        <w:t>,</w:t>
      </w:r>
      <w:r>
        <w:rPr>
          <w:rFonts w:hint="eastAsia" w:ascii="仿宋" w:hAnsi="仿宋" w:eastAsia="仿宋" w:cs="仿宋"/>
          <w:color w:val="000000" w:themeColor="text1"/>
          <w:kern w:val="0"/>
          <w:sz w:val="30"/>
          <w:lang w:val="zh-CN"/>
          <w14:textFill>
            <w14:solidFill>
              <w14:schemeClr w14:val="tx1"/>
            </w14:solidFill>
          </w14:textFill>
        </w:rPr>
        <w:t>759</w:t>
      </w:r>
      <w:r>
        <w:rPr>
          <w:rFonts w:hint="eastAsia" w:ascii="仿宋" w:hAnsi="仿宋" w:eastAsia="仿宋" w:cs="仿宋"/>
          <w:color w:val="000000" w:themeColor="text1"/>
          <w:kern w:val="0"/>
          <w:sz w:val="30"/>
          <w:lang w:val="en-US" w:eastAsia="zh-CN"/>
          <w14:textFill>
            <w14:solidFill>
              <w14:schemeClr w14:val="tx1"/>
            </w14:solidFill>
          </w14:textFill>
        </w:rPr>
        <w:t>,</w:t>
      </w:r>
      <w:r>
        <w:rPr>
          <w:rFonts w:hint="eastAsia" w:ascii="仿宋" w:hAnsi="仿宋" w:eastAsia="仿宋" w:cs="仿宋"/>
          <w:color w:val="000000" w:themeColor="text1"/>
          <w:kern w:val="0"/>
          <w:sz w:val="30"/>
          <w:lang w:val="zh-CN"/>
          <w14:textFill>
            <w14:solidFill>
              <w14:schemeClr w14:val="tx1"/>
            </w14:solidFill>
          </w14:textFill>
        </w:rPr>
        <w:t>116.28</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87.26</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完成年初预算的</w:t>
      </w:r>
      <w:r>
        <w:rPr>
          <w:rFonts w:hint="eastAsia" w:ascii="仿宋" w:hAnsi="仿宋" w:eastAsia="仿宋" w:cs="仿宋"/>
          <w:color w:val="000000" w:themeColor="text1"/>
          <w:kern w:val="0"/>
          <w:sz w:val="30"/>
          <w:lang w:val="zh-CN"/>
          <w14:textFill>
            <w14:solidFill>
              <w14:schemeClr w14:val="tx1"/>
            </w14:solidFill>
          </w14:textFill>
        </w:rPr>
        <w:t>288.60</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主要用于</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森生态效益补偿、天然商品林停伐管护补助、新一轮退耕还林还草补助等项目支出；</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13.交通运输（类）支出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14.资源勘探工业信息等（类）支出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15.商业服务业等（类）支出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16.金融（类）支出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17.援助其他地区（类）支出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both"/>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18.自然资源海洋气象等（类）支出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spacing w:before="100" w:beforeLines="0" w:after="100" w:afterLines="0" w:line="360" w:lineRule="auto"/>
        <w:ind w:firstLine="600"/>
        <w:jc w:val="both"/>
        <w:rPr>
          <w:rFonts w:hint="eastAsia" w:ascii="仿宋" w:hAnsi="仿宋" w:eastAsia="仿宋" w:cs="仿宋"/>
          <w:color w:val="000000" w:themeColor="text1"/>
          <w:kern w:val="0"/>
          <w:sz w:val="30"/>
          <w:lang w:val="en-US"/>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19.住房保障（类）支出</w:t>
      </w:r>
      <w:r>
        <w:rPr>
          <w:rFonts w:hint="eastAsia" w:ascii="仿宋" w:hAnsi="仿宋" w:eastAsia="仿宋" w:cs="仿宋"/>
          <w:color w:val="000000" w:themeColor="text1"/>
          <w:kern w:val="0"/>
          <w:sz w:val="30"/>
          <w:lang w:val="zh-CN"/>
          <w14:textFill>
            <w14:solidFill>
              <w14:schemeClr w14:val="tx1"/>
            </w14:solidFill>
          </w14:textFill>
        </w:rPr>
        <w:t>918</w:t>
      </w:r>
      <w:r>
        <w:rPr>
          <w:rFonts w:hint="eastAsia" w:ascii="仿宋" w:hAnsi="仿宋" w:eastAsia="仿宋" w:cs="仿宋"/>
          <w:color w:val="000000" w:themeColor="text1"/>
          <w:kern w:val="0"/>
          <w:sz w:val="30"/>
          <w:lang w:val="en-US" w:eastAsia="zh-CN"/>
          <w14:textFill>
            <w14:solidFill>
              <w14:schemeClr w14:val="tx1"/>
            </w14:solidFill>
          </w14:textFill>
        </w:rPr>
        <w:t>,</w:t>
      </w:r>
      <w:r>
        <w:rPr>
          <w:rFonts w:hint="eastAsia" w:ascii="仿宋" w:hAnsi="仿宋" w:eastAsia="仿宋" w:cs="仿宋"/>
          <w:color w:val="000000" w:themeColor="text1"/>
          <w:kern w:val="0"/>
          <w:sz w:val="30"/>
          <w:lang w:val="zh-CN"/>
          <w14:textFill>
            <w14:solidFill>
              <w14:schemeClr w14:val="tx1"/>
            </w14:solidFill>
          </w14:textFill>
        </w:rPr>
        <w:t>785.00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3.68</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完成年初预算的</w:t>
      </w:r>
      <w:r>
        <w:rPr>
          <w:rFonts w:hint="eastAsia" w:ascii="仿宋" w:hAnsi="仿宋" w:eastAsia="仿宋" w:cs="仿宋"/>
          <w:color w:val="000000" w:themeColor="text1"/>
          <w:kern w:val="0"/>
          <w:sz w:val="30"/>
          <w:lang w:val="zh-CN"/>
          <w14:textFill>
            <w14:solidFill>
              <w14:schemeClr w14:val="tx1"/>
            </w14:solidFill>
          </w14:textFill>
        </w:rPr>
        <w:t>100.77</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主要用于</w:t>
      </w:r>
      <w:r>
        <w:rPr>
          <w:rFonts w:hint="eastAsia" w:ascii="仿宋" w:hAnsi="仿宋" w:eastAsia="仿宋" w:cs="仿宋"/>
          <w:color w:val="000000" w:themeColor="text1"/>
          <w:sz w:val="30"/>
          <w:szCs w:val="30"/>
          <w:lang w:eastAsia="zh-CN"/>
          <w14:textFill>
            <w14:solidFill>
              <w14:schemeClr w14:val="tx1"/>
            </w14:solidFill>
          </w14:textFill>
        </w:rPr>
        <w:t>职工</w:t>
      </w:r>
      <w:r>
        <w:rPr>
          <w:rFonts w:hint="eastAsia" w:ascii="仿宋" w:hAnsi="仿宋" w:eastAsia="仿宋" w:cs="仿宋"/>
          <w:color w:val="000000" w:themeColor="text1"/>
          <w:sz w:val="30"/>
          <w:szCs w:val="30"/>
          <w14:textFill>
            <w14:solidFill>
              <w14:schemeClr w14:val="tx1"/>
            </w14:solidFill>
          </w14:textFill>
        </w:rPr>
        <w:t>住房公积金补助支出</w:t>
      </w:r>
      <w:r>
        <w:rPr>
          <w:rFonts w:hint="eastAsia" w:ascii="仿宋" w:hAnsi="仿宋" w:eastAsia="仿宋" w:cs="仿宋"/>
          <w:color w:val="000000" w:themeColor="text1"/>
          <w:kern w:val="0"/>
          <w:sz w:val="30"/>
          <w:lang w:val="en-US"/>
          <w14:textFill>
            <w14:solidFill>
              <w14:schemeClr w14:val="tx1"/>
            </w14:solidFill>
          </w14:textFill>
        </w:rPr>
        <w:t>；</w:t>
      </w:r>
    </w:p>
    <w:p>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20.粮油物资储备（类）支出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21.国有资本经营预算（类）支出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22.灾害防治及应急管理（类）支出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23.其他（类）支出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24.债务还本（类）支出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25.债务付息（类）支出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lang w:val="en-US"/>
          <w14:textFill>
            <w14:solidFill>
              <w14:schemeClr w14:val="tx1"/>
            </w14:solidFill>
          </w14:textFill>
        </w:rPr>
        <w:t>26.抗疫特别国债安排（类）支出</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占一般公共预算财政拨款总支出的</w:t>
      </w:r>
      <w:r>
        <w:rPr>
          <w:rFonts w:hint="eastAsia" w:ascii="仿宋" w:hAnsi="仿宋" w:eastAsia="仿宋" w:cs="仿宋"/>
          <w:color w:val="000000" w:themeColor="text1"/>
          <w:kern w:val="0"/>
          <w:sz w:val="30"/>
          <w:lang w:val="zh-CN"/>
          <w14:textFill>
            <w14:solidFill>
              <w14:schemeClr w14:val="tx1"/>
            </w14:solidFill>
          </w14:textFill>
        </w:rPr>
        <w:t>0.00</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年初无此项预算。</w:t>
      </w:r>
    </w:p>
    <w:p>
      <w:pPr>
        <w:widowControl/>
        <w:numPr>
          <w:ilvl w:val="0"/>
          <w:numId w:val="1"/>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2024</w:t>
      </w:r>
      <w:r>
        <w:rPr>
          <w:rFonts w:hint="eastAsia" w:ascii="仿宋" w:hAnsi="仿宋" w:eastAsia="仿宋" w:cs="仿宋"/>
          <w:kern w:val="0"/>
          <w:sz w:val="30"/>
          <w:szCs w:val="30"/>
          <w:highlight w:val="none"/>
        </w:rPr>
        <w:t>年度财政拨款“三公”经费支出决算中，财政拨款“三公”经费支出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kern w:val="0"/>
          <w:sz w:val="30"/>
          <w:lang w:val="en-US" w:eastAsia="zh-CN"/>
        </w:rPr>
        <w:t>56,000.00</w:t>
      </w:r>
      <w:r>
        <w:rPr>
          <w:rFonts w:hint="eastAsia" w:ascii="仿宋" w:hAnsi="仿宋" w:eastAsia="仿宋" w:cs="仿宋"/>
          <w:kern w:val="0"/>
          <w:sz w:val="30"/>
          <w:szCs w:val="30"/>
          <w:highlight w:val="none"/>
        </w:rPr>
        <w:t>元，决算为</w:t>
      </w:r>
      <w:r>
        <w:rPr>
          <w:rFonts w:hint="eastAsia" w:ascii="仿宋" w:hAnsi="仿宋" w:eastAsia="仿宋" w:cs="仿宋"/>
          <w:color w:val="000000"/>
          <w:sz w:val="30"/>
          <w:lang w:val="zh-CN"/>
        </w:rPr>
        <w:t>17</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015.00</w:t>
      </w:r>
      <w:r>
        <w:rPr>
          <w:rFonts w:hint="eastAsia" w:ascii="仿宋" w:hAnsi="仿宋" w:eastAsia="仿宋" w:cs="仿宋"/>
          <w:kern w:val="0"/>
          <w:sz w:val="30"/>
          <w:szCs w:val="30"/>
          <w:highlight w:val="none"/>
        </w:rPr>
        <w:t>元，完成</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预算的</w:t>
      </w:r>
      <w:r>
        <w:rPr>
          <w:rFonts w:hint="eastAsia" w:ascii="仿宋" w:hAnsi="仿宋" w:eastAsia="仿宋" w:cs="仿宋"/>
          <w:color w:val="000000"/>
          <w:sz w:val="30"/>
          <w:lang w:val="zh-CN"/>
        </w:rPr>
        <w:t>30.38</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；支出决算较上年增加</w:t>
      </w:r>
      <w:r>
        <w:rPr>
          <w:rFonts w:hint="eastAsia" w:ascii="仿宋" w:hAnsi="仿宋" w:eastAsia="仿宋" w:cs="仿宋"/>
          <w:color w:val="000000"/>
          <w:sz w:val="30"/>
          <w:lang w:val="zh-CN"/>
        </w:rPr>
        <w:t>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921.00</w:t>
      </w:r>
      <w:r>
        <w:rPr>
          <w:rFonts w:hint="eastAsia" w:ascii="仿宋" w:hAnsi="仿宋" w:eastAsia="仿宋" w:cs="仿宋"/>
          <w:kern w:val="0"/>
          <w:sz w:val="30"/>
          <w:szCs w:val="30"/>
          <w:highlight w:val="none"/>
          <w:lang w:val="en-US" w:eastAsia="zh-CN"/>
        </w:rPr>
        <w:t>元，增长</w:t>
      </w:r>
      <w:r>
        <w:rPr>
          <w:rFonts w:hint="eastAsia" w:ascii="仿宋" w:hAnsi="仿宋" w:eastAsia="仿宋" w:cs="仿宋"/>
          <w:color w:val="000000"/>
          <w:sz w:val="30"/>
          <w:lang w:val="zh-CN"/>
        </w:rPr>
        <w:t>20.73</w:t>
      </w:r>
      <w:r>
        <w:rPr>
          <w:rFonts w:hint="eastAsia" w:ascii="仿宋" w:hAnsi="仿宋" w:eastAsia="仿宋" w:cs="仿宋"/>
          <w:kern w:val="0"/>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rPr>
        <w:t>因公出国（境）费支出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rPr>
        <w:t>%；公务用车购置费支出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rPr>
        <w:t>%；公务用车</w:t>
      </w:r>
      <w:r>
        <w:rPr>
          <w:rFonts w:hint="eastAsia" w:ascii="仿宋" w:hAnsi="仿宋" w:eastAsia="仿宋" w:cs="仿宋"/>
          <w:kern w:val="0"/>
          <w:sz w:val="30"/>
          <w:szCs w:val="30"/>
          <w:highlight w:val="none"/>
          <w:lang w:eastAsia="zh-CN"/>
        </w:rPr>
        <w:t>运行维护</w:t>
      </w:r>
      <w:r>
        <w:rPr>
          <w:rFonts w:hint="eastAsia" w:ascii="仿宋" w:hAnsi="仿宋" w:eastAsia="仿宋" w:cs="仿宋"/>
          <w:kern w:val="0"/>
          <w:sz w:val="30"/>
          <w:szCs w:val="30"/>
          <w:highlight w:val="none"/>
        </w:rPr>
        <w:t>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lang w:val="zh-CN"/>
        </w:rPr>
        <w:t>12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lang w:val="zh-CN"/>
        </w:rPr>
        <w:t>12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lang w:val="zh-CN"/>
        </w:rPr>
        <w:t>70.53</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，完成年初预算的</w:t>
      </w:r>
      <w:r>
        <w:rPr>
          <w:rFonts w:hint="eastAsia" w:ascii="仿宋" w:hAnsi="仿宋" w:eastAsia="仿宋" w:cs="仿宋"/>
          <w:color w:val="000000"/>
          <w:sz w:val="30"/>
          <w:lang w:val="zh-CN"/>
        </w:rPr>
        <w:t>100.00</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rPr>
        <w:t>公务接待费支出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lang w:val="zh-CN"/>
        </w:rPr>
        <w:t>44</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lang w:val="zh-CN"/>
        </w:rPr>
        <w:t>5</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015.00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lang w:val="zh-CN"/>
        </w:rPr>
        <w:t>29.47</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，完成年初预算的</w:t>
      </w:r>
      <w:r>
        <w:rPr>
          <w:rFonts w:hint="eastAsia" w:ascii="仿宋" w:hAnsi="仿宋" w:eastAsia="仿宋" w:cs="仿宋"/>
          <w:color w:val="000000"/>
          <w:sz w:val="30"/>
          <w:lang w:val="zh-CN"/>
        </w:rPr>
        <w:t>11.40</w:t>
      </w:r>
      <w:r>
        <w:rPr>
          <w:rFonts w:hint="eastAsia" w:ascii="仿宋" w:hAnsi="仿宋" w:eastAsia="仿宋" w:cs="仿宋"/>
          <w:kern w:val="0"/>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rPr>
        <w:t>因公出国（境）费</w:t>
      </w:r>
      <w:r>
        <w:rPr>
          <w:rFonts w:hint="eastAsia" w:ascii="仿宋" w:hAnsi="仿宋" w:eastAsia="仿宋" w:cs="仿宋"/>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lang w:val="en-US" w:eastAsia="zh-CN"/>
        </w:rPr>
        <w:t>元，增长0.00%</w:t>
      </w:r>
      <w:r>
        <w:rPr>
          <w:rFonts w:hint="eastAsia" w:ascii="仿宋" w:hAnsi="仿宋" w:eastAsia="仿宋" w:cs="仿宋"/>
          <w:kern w:val="0"/>
          <w:sz w:val="30"/>
          <w:szCs w:val="30"/>
          <w:highlight w:val="none"/>
          <w:lang w:eastAsia="zh-CN"/>
        </w:rPr>
        <w:t>；</w:t>
      </w:r>
      <w:r>
        <w:rPr>
          <w:rFonts w:hint="eastAsia" w:ascii="仿宋" w:hAnsi="仿宋" w:eastAsia="仿宋" w:cs="仿宋"/>
          <w:sz w:val="30"/>
          <w:szCs w:val="30"/>
          <w:highlight w:val="none"/>
        </w:rPr>
        <w:t>公务用车购置费</w:t>
      </w:r>
      <w:r>
        <w:rPr>
          <w:rFonts w:hint="eastAsia" w:ascii="仿宋" w:hAnsi="仿宋" w:eastAsia="仿宋" w:cs="仿宋"/>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lang w:val="en-US" w:eastAsia="zh-CN"/>
        </w:rPr>
        <w:t>元，增长0.00%</w:t>
      </w:r>
      <w:r>
        <w:rPr>
          <w:rFonts w:hint="eastAsia" w:ascii="仿宋" w:hAnsi="仿宋" w:eastAsia="仿宋" w:cs="仿宋"/>
          <w:kern w:val="0"/>
          <w:sz w:val="30"/>
          <w:szCs w:val="30"/>
          <w:highlight w:val="none"/>
          <w:lang w:eastAsia="zh-CN"/>
        </w:rPr>
        <w:t>；</w:t>
      </w:r>
      <w:r>
        <w:rPr>
          <w:rFonts w:hint="eastAsia" w:ascii="仿宋" w:hAnsi="仿宋" w:eastAsia="仿宋" w:cs="仿宋"/>
          <w:sz w:val="30"/>
          <w:szCs w:val="30"/>
          <w:highlight w:val="none"/>
        </w:rPr>
        <w:t>公务用车</w:t>
      </w:r>
      <w:r>
        <w:rPr>
          <w:rFonts w:hint="eastAsia" w:ascii="仿宋" w:hAnsi="仿宋" w:eastAsia="仿宋" w:cs="仿宋"/>
          <w:sz w:val="30"/>
          <w:szCs w:val="30"/>
          <w:highlight w:val="none"/>
          <w:lang w:eastAsia="zh-CN"/>
        </w:rPr>
        <w:t>运行维护费</w:t>
      </w:r>
      <w:r>
        <w:rPr>
          <w:rFonts w:hint="eastAsia" w:ascii="仿宋" w:hAnsi="仿宋" w:eastAsia="仿宋" w:cs="仿宋"/>
          <w:kern w:val="0"/>
          <w:sz w:val="30"/>
          <w:szCs w:val="30"/>
          <w:highlight w:val="none"/>
          <w:lang w:eastAsia="zh-CN"/>
        </w:rPr>
        <w:t>支出决算较上年增加</w:t>
      </w:r>
      <w:r>
        <w:rPr>
          <w:rFonts w:hint="eastAsia" w:ascii="仿宋" w:hAnsi="仿宋" w:eastAsia="仿宋" w:cs="仿宋"/>
          <w:color w:val="000000"/>
          <w:sz w:val="30"/>
          <w:lang w:val="zh-CN"/>
        </w:rPr>
        <w:t>12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kern w:val="0"/>
          <w:sz w:val="30"/>
          <w:szCs w:val="30"/>
          <w:highlight w:val="none"/>
          <w:lang w:eastAsia="zh-CN"/>
        </w:rPr>
        <w:t>；</w:t>
      </w:r>
      <w:r>
        <w:rPr>
          <w:rFonts w:hint="eastAsia" w:ascii="仿宋" w:hAnsi="仿宋" w:eastAsia="仿宋" w:cs="仿宋"/>
          <w:sz w:val="30"/>
          <w:szCs w:val="30"/>
          <w:highlight w:val="none"/>
        </w:rPr>
        <w:t>公务接待费</w:t>
      </w:r>
      <w:r>
        <w:rPr>
          <w:rFonts w:hint="eastAsia" w:ascii="仿宋" w:hAnsi="仿宋" w:eastAsia="仿宋" w:cs="仿宋"/>
          <w:kern w:val="0"/>
          <w:sz w:val="30"/>
          <w:szCs w:val="30"/>
          <w:highlight w:val="none"/>
          <w:lang w:eastAsia="zh-CN"/>
        </w:rPr>
        <w:t>支出决算较上年</w:t>
      </w:r>
      <w:r>
        <w:rPr>
          <w:rFonts w:hint="eastAsia" w:ascii="仿宋" w:hAnsi="仿宋" w:eastAsia="仿宋" w:cs="仿宋"/>
          <w:kern w:val="0"/>
          <w:sz w:val="30"/>
          <w:szCs w:val="30"/>
          <w:highlight w:val="none"/>
          <w:lang w:val="en-US" w:eastAsia="zh-CN"/>
        </w:rPr>
        <w:t>减少</w:t>
      </w:r>
      <w:r>
        <w:rPr>
          <w:rFonts w:hint="eastAsia" w:ascii="仿宋" w:hAnsi="仿宋" w:eastAsia="仿宋" w:cs="仿宋"/>
          <w:color w:val="000000"/>
          <w:sz w:val="30"/>
          <w:lang w:val="zh-CN"/>
        </w:rPr>
        <w:t>9</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079.00</w:t>
      </w:r>
      <w:r>
        <w:rPr>
          <w:rFonts w:hint="eastAsia" w:ascii="仿宋" w:hAnsi="仿宋" w:eastAsia="仿宋" w:cs="仿宋"/>
          <w:kern w:val="0"/>
          <w:sz w:val="30"/>
          <w:szCs w:val="30"/>
          <w:highlight w:val="none"/>
          <w:lang w:val="en-US" w:eastAsia="zh-CN"/>
        </w:rPr>
        <w:t>元，下降</w:t>
      </w:r>
      <w:r>
        <w:rPr>
          <w:rFonts w:hint="eastAsia" w:ascii="仿宋" w:hAnsi="仿宋" w:eastAsia="仿宋" w:cs="仿宋"/>
          <w:color w:val="000000"/>
          <w:sz w:val="30"/>
          <w:lang w:val="zh-CN"/>
        </w:rPr>
        <w:t>64.42</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eastAsia="zh-CN"/>
        </w:rPr>
        <w:t>；具体是国内接待费支出决算</w:t>
      </w:r>
      <w:r>
        <w:rPr>
          <w:rFonts w:hint="eastAsia" w:ascii="仿宋" w:hAnsi="仿宋" w:eastAsia="仿宋" w:cs="仿宋"/>
          <w:color w:val="000000"/>
          <w:sz w:val="30"/>
          <w:lang w:val="zh-CN"/>
        </w:rPr>
        <w:t>5</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015.00</w:t>
      </w:r>
      <w:r>
        <w:rPr>
          <w:rFonts w:hint="eastAsia" w:ascii="仿宋" w:hAnsi="仿宋" w:eastAsia="仿宋" w:cs="仿宋"/>
          <w:kern w:val="0"/>
          <w:sz w:val="30"/>
          <w:szCs w:val="30"/>
          <w:highlight w:val="none"/>
          <w:lang w:eastAsia="zh-CN"/>
        </w:rPr>
        <w:t>元（其中：外事接待费支出决算</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lang w:eastAsia="zh-CN"/>
        </w:rPr>
        <w:t>元），较上年</w:t>
      </w:r>
      <w:r>
        <w:rPr>
          <w:rFonts w:hint="eastAsia" w:ascii="仿宋" w:hAnsi="仿宋" w:eastAsia="仿宋" w:cs="仿宋"/>
          <w:kern w:val="0"/>
          <w:sz w:val="30"/>
          <w:szCs w:val="30"/>
          <w:highlight w:val="none"/>
          <w:lang w:val="en-US" w:eastAsia="zh-CN"/>
        </w:rPr>
        <w:t>减少</w:t>
      </w:r>
      <w:r>
        <w:rPr>
          <w:rFonts w:hint="eastAsia" w:ascii="仿宋" w:hAnsi="仿宋" w:eastAsia="仿宋" w:cs="仿宋"/>
          <w:color w:val="000000"/>
          <w:sz w:val="30"/>
          <w:lang w:val="zh-CN"/>
        </w:rPr>
        <w:t>9</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079.00</w:t>
      </w:r>
      <w:r>
        <w:rPr>
          <w:rFonts w:hint="eastAsia" w:ascii="仿宋" w:hAnsi="仿宋" w:eastAsia="仿宋" w:cs="仿宋"/>
          <w:kern w:val="0"/>
          <w:sz w:val="30"/>
          <w:szCs w:val="30"/>
          <w:highlight w:val="none"/>
          <w:lang w:val="en-US" w:eastAsia="zh-CN"/>
        </w:rPr>
        <w:t>元，下降</w:t>
      </w:r>
      <w:r>
        <w:rPr>
          <w:rFonts w:hint="eastAsia" w:ascii="仿宋" w:hAnsi="仿宋" w:eastAsia="仿宋" w:cs="仿宋"/>
          <w:color w:val="000000"/>
          <w:sz w:val="30"/>
          <w:lang w:val="zh-CN"/>
        </w:rPr>
        <w:t>64.42</w:t>
      </w:r>
      <w:r>
        <w:rPr>
          <w:rFonts w:hint="eastAsia" w:ascii="仿宋" w:hAnsi="仿宋" w:eastAsia="仿宋" w:cs="仿宋"/>
          <w:kern w:val="0"/>
          <w:sz w:val="30"/>
          <w:szCs w:val="30"/>
          <w:highlight w:val="none"/>
          <w:lang w:val="en-US" w:eastAsia="zh-CN"/>
        </w:rPr>
        <w:t>%</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kern w:val="0"/>
          <w:sz w:val="30"/>
          <w:szCs w:val="30"/>
          <w:highlight w:val="none"/>
          <w:lang w:eastAsia="zh-CN"/>
        </w:rPr>
        <w:t>国（境）外接待费支出决算</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lang w:eastAsia="zh-CN"/>
        </w:rPr>
        <w:t>元，较上年增加</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lang w:val="en-US" w:eastAsia="zh-CN"/>
        </w:rPr>
        <w:t>元，增长0.00%</w:t>
      </w:r>
      <w:r>
        <w:rPr>
          <w:rFonts w:hint="eastAsia" w:ascii="仿宋" w:hAnsi="仿宋" w:eastAsia="仿宋" w:cs="仿宋"/>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年度一般公共预算财政拨款“三公”经费支出</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预算为</w:t>
      </w:r>
      <w:r>
        <w:rPr>
          <w:rFonts w:hint="eastAsia" w:ascii="仿宋" w:hAnsi="仿宋" w:eastAsia="仿宋" w:cs="仿宋"/>
          <w:color w:val="000000"/>
          <w:sz w:val="30"/>
          <w:lang w:val="zh-CN"/>
        </w:rPr>
        <w:t>56</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，支出决算为</w:t>
      </w:r>
      <w:r>
        <w:rPr>
          <w:rFonts w:hint="eastAsia" w:ascii="仿宋" w:hAnsi="仿宋" w:eastAsia="仿宋" w:cs="仿宋"/>
          <w:color w:val="000000"/>
          <w:sz w:val="30"/>
          <w:lang w:val="zh-CN"/>
        </w:rPr>
        <w:t>17</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015.00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eastAsia" w:ascii="仿宋" w:hAnsi="仿宋" w:eastAsia="仿宋" w:cs="仿宋"/>
          <w:color w:val="000000"/>
          <w:sz w:val="30"/>
          <w:lang w:val="zh-CN"/>
        </w:rPr>
        <w:t>30.38</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kern w:val="0"/>
          <w:sz w:val="30"/>
          <w:szCs w:val="30"/>
          <w:highlight w:val="none"/>
          <w:lang w:eastAsia="zh-CN"/>
        </w:rPr>
        <w:t>支出决算较上年增加</w:t>
      </w:r>
      <w:r>
        <w:rPr>
          <w:rFonts w:hint="eastAsia" w:ascii="仿宋" w:hAnsi="仿宋" w:eastAsia="仿宋" w:cs="仿宋"/>
          <w:color w:val="000000"/>
          <w:sz w:val="30"/>
          <w:lang w:val="zh-CN"/>
        </w:rPr>
        <w:t>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921.00</w:t>
      </w:r>
      <w:r>
        <w:rPr>
          <w:rFonts w:hint="eastAsia" w:ascii="仿宋" w:hAnsi="仿宋" w:eastAsia="仿宋" w:cs="仿宋"/>
          <w:kern w:val="0"/>
          <w:sz w:val="30"/>
          <w:szCs w:val="30"/>
          <w:highlight w:val="none"/>
          <w:lang w:val="en-US" w:eastAsia="zh-CN"/>
        </w:rPr>
        <w:t>元，增长</w:t>
      </w:r>
      <w:r>
        <w:rPr>
          <w:rFonts w:hint="eastAsia" w:ascii="仿宋" w:hAnsi="仿宋" w:eastAsia="仿宋" w:cs="仿宋"/>
          <w:color w:val="000000"/>
          <w:sz w:val="30"/>
          <w:lang w:val="zh-CN"/>
        </w:rPr>
        <w:t>20.73</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eastAsia="zh-CN"/>
        </w:rPr>
        <w:t>。</w:t>
      </w:r>
    </w:p>
    <w:p>
      <w:pPr>
        <w:widowControl/>
        <w:snapToGrid w:val="0"/>
        <w:spacing w:before="100" w:after="100" w:line="360" w:lineRule="auto"/>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一般公共预算财政拨款“三公”经费支出</w:t>
      </w:r>
      <w:r>
        <w:rPr>
          <w:rFonts w:hint="eastAsia" w:ascii="仿宋" w:hAnsi="仿宋" w:eastAsia="仿宋" w:cs="仿宋"/>
          <w:sz w:val="30"/>
          <w:szCs w:val="30"/>
          <w:highlight w:val="none"/>
          <w:lang w:eastAsia="zh-CN"/>
        </w:rPr>
        <w:t>中：</w:t>
      </w:r>
      <w:r>
        <w:rPr>
          <w:rFonts w:hint="eastAsia" w:ascii="仿宋" w:hAnsi="仿宋" w:eastAsia="仿宋" w:cs="仿宋"/>
          <w:sz w:val="30"/>
          <w:szCs w:val="30"/>
          <w:highlight w:val="none"/>
        </w:rPr>
        <w:t>因公出国（境）费支出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；公务用车购置费支出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；公务用车</w:t>
      </w:r>
      <w:r>
        <w:rPr>
          <w:rFonts w:hint="eastAsia" w:ascii="仿宋" w:hAnsi="仿宋" w:eastAsia="仿宋" w:cs="仿宋"/>
          <w:sz w:val="30"/>
          <w:szCs w:val="30"/>
          <w:highlight w:val="none"/>
          <w:lang w:eastAsia="zh-CN"/>
        </w:rPr>
        <w:t>运行维护费</w:t>
      </w:r>
      <w:r>
        <w:rPr>
          <w:rFonts w:hint="eastAsia" w:ascii="仿宋" w:hAnsi="仿宋" w:eastAsia="仿宋" w:cs="仿宋"/>
          <w:sz w:val="30"/>
          <w:szCs w:val="30"/>
          <w:highlight w:val="none"/>
        </w:rPr>
        <w:t>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lang w:val="zh-CN"/>
        </w:rPr>
        <w:t>12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lang w:val="zh-CN"/>
        </w:rPr>
        <w:t>12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eastAsia" w:ascii="仿宋" w:hAnsi="仿宋" w:eastAsia="仿宋" w:cs="仿宋"/>
          <w:color w:val="000000"/>
          <w:sz w:val="30"/>
          <w:lang w:val="zh-CN"/>
        </w:rPr>
        <w:t>100.00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公务接待费支出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lang w:val="zh-CN"/>
        </w:rPr>
        <w:t>44</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lang w:val="zh-CN"/>
        </w:rPr>
        <w:t>5</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015.00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eastAsia" w:ascii="仿宋" w:hAnsi="仿宋" w:eastAsia="仿宋" w:cs="仿宋"/>
          <w:color w:val="000000"/>
          <w:sz w:val="30"/>
          <w:lang w:val="zh-CN"/>
        </w:rPr>
        <w:t>11.40</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年度一般公共预算财政拨款“三公”经费支出决算数小于</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预算数的主要原因</w:t>
      </w:r>
      <w:r>
        <w:rPr>
          <w:rFonts w:hint="eastAsia" w:ascii="仿宋" w:hAnsi="仿宋" w:eastAsia="仿宋" w:cs="仿宋"/>
          <w:sz w:val="30"/>
          <w:szCs w:val="30"/>
          <w:highlight w:val="none"/>
          <w:lang w:eastAsia="zh-CN"/>
        </w:rPr>
        <w:t>是</w:t>
      </w:r>
      <w:r>
        <w:rPr>
          <w:rFonts w:hint="eastAsia" w:ascii="仿宋" w:hAnsi="仿宋" w:eastAsia="仿宋" w:cs="仿宋"/>
          <w:color w:val="auto"/>
          <w:sz w:val="30"/>
          <w:szCs w:val="30"/>
          <w:highlight w:val="none"/>
          <w:lang w:eastAsia="zh-CN"/>
        </w:rPr>
        <w:t>厉行节约，压缩了公用经费的支出</w:t>
      </w:r>
      <w:r>
        <w:rPr>
          <w:rFonts w:hint="eastAsia" w:ascii="仿宋" w:hAnsi="仿宋" w:eastAsia="仿宋" w:cs="仿宋"/>
          <w:color w:val="auto"/>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sz w:val="30"/>
          <w:szCs w:val="30"/>
          <w:highlight w:val="none"/>
        </w:rPr>
        <w:t>一般公共预算财政拨款“三公”经费支出</w:t>
      </w:r>
      <w:r>
        <w:rPr>
          <w:rFonts w:hint="eastAsia" w:ascii="仿宋" w:hAnsi="仿宋" w:eastAsia="仿宋" w:cs="仿宋"/>
          <w:sz w:val="30"/>
          <w:szCs w:val="30"/>
          <w:highlight w:val="none"/>
          <w:lang w:eastAsia="zh-CN"/>
        </w:rPr>
        <w:t>中：</w:t>
      </w:r>
      <w:r>
        <w:rPr>
          <w:rFonts w:hint="eastAsia" w:ascii="仿宋" w:hAnsi="仿宋" w:eastAsia="仿宋" w:cs="仿宋"/>
          <w:sz w:val="30"/>
          <w:szCs w:val="30"/>
          <w:highlight w:val="none"/>
        </w:rPr>
        <w:t>因公出国（境）费支出决算增加</w:t>
      </w:r>
      <w:r>
        <w:rPr>
          <w:rFonts w:hint="eastAsia" w:ascii="仿宋" w:hAnsi="仿宋" w:eastAsia="仿宋" w:cs="仿宋"/>
          <w:color w:val="000000"/>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%；公务用车购置费支出决算增加</w:t>
      </w:r>
      <w:r>
        <w:rPr>
          <w:rFonts w:hint="eastAsia" w:ascii="仿宋" w:hAnsi="仿宋" w:eastAsia="仿宋" w:cs="仿宋"/>
          <w:color w:val="000000"/>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%；公务用车</w:t>
      </w:r>
      <w:r>
        <w:rPr>
          <w:rFonts w:hint="eastAsia" w:ascii="仿宋" w:hAnsi="仿宋" w:eastAsia="仿宋" w:cs="仿宋"/>
          <w:sz w:val="30"/>
          <w:szCs w:val="30"/>
          <w:highlight w:val="none"/>
          <w:lang w:eastAsia="zh-CN"/>
        </w:rPr>
        <w:t>运行维护费</w:t>
      </w:r>
      <w:r>
        <w:rPr>
          <w:rFonts w:hint="eastAsia" w:ascii="仿宋" w:hAnsi="仿宋" w:eastAsia="仿宋" w:cs="仿宋"/>
          <w:sz w:val="30"/>
          <w:szCs w:val="30"/>
          <w:highlight w:val="none"/>
        </w:rPr>
        <w:t>支出决算增加</w:t>
      </w:r>
      <w:r>
        <w:rPr>
          <w:rFonts w:hint="eastAsia" w:ascii="仿宋" w:hAnsi="仿宋" w:eastAsia="仿宋" w:cs="仿宋"/>
          <w:color w:val="000000"/>
          <w:sz w:val="30"/>
          <w:lang w:val="zh-CN"/>
        </w:rPr>
        <w:t>12</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sz w:val="30"/>
          <w:szCs w:val="30"/>
          <w:highlight w:val="none"/>
        </w:rPr>
        <w:t>；公务接待费支出决算减少</w:t>
      </w:r>
      <w:r>
        <w:rPr>
          <w:rFonts w:hint="eastAsia" w:ascii="仿宋" w:hAnsi="仿宋" w:eastAsia="仿宋" w:cs="仿宋"/>
          <w:color w:val="000000"/>
          <w:sz w:val="30"/>
          <w:lang w:val="zh-CN"/>
        </w:rPr>
        <w:t>9</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079.00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，下降</w:t>
      </w:r>
      <w:r>
        <w:rPr>
          <w:rFonts w:hint="eastAsia" w:ascii="仿宋" w:hAnsi="仿宋" w:eastAsia="仿宋" w:cs="仿宋"/>
          <w:color w:val="000000"/>
          <w:sz w:val="30"/>
          <w:lang w:val="zh-CN"/>
        </w:rPr>
        <w:t>64.42</w:t>
      </w:r>
      <w:r>
        <w:rPr>
          <w:rFonts w:hint="eastAsia" w:ascii="仿宋" w:hAnsi="仿宋" w:eastAsia="仿宋" w:cs="仿宋"/>
          <w:sz w:val="30"/>
          <w:szCs w:val="30"/>
          <w:highlight w:val="none"/>
        </w:rPr>
        <w:t>%</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kern w:val="0"/>
          <w:sz w:val="30"/>
          <w:szCs w:val="30"/>
          <w:highlight w:val="none"/>
          <w:lang w:eastAsia="zh-CN"/>
        </w:rPr>
        <w:t>具体是国内接待费支出决算</w:t>
      </w:r>
      <w:r>
        <w:rPr>
          <w:rFonts w:hint="eastAsia" w:ascii="仿宋" w:hAnsi="仿宋" w:eastAsia="仿宋" w:cs="仿宋"/>
          <w:color w:val="000000"/>
          <w:sz w:val="30"/>
          <w:lang w:val="zh-CN"/>
        </w:rPr>
        <w:t>5</w:t>
      </w:r>
      <w:r>
        <w:rPr>
          <w:rFonts w:hint="eastAsia" w:ascii="仿宋" w:hAnsi="仿宋" w:eastAsia="仿宋" w:cs="仿宋"/>
          <w:color w:val="000000"/>
          <w:sz w:val="30"/>
          <w:lang w:val="en-US" w:eastAsia="zh-CN"/>
        </w:rPr>
        <w:t>,</w:t>
      </w:r>
      <w:r>
        <w:rPr>
          <w:rFonts w:hint="eastAsia" w:ascii="仿宋" w:hAnsi="仿宋" w:eastAsia="仿宋" w:cs="仿宋"/>
          <w:color w:val="000000"/>
          <w:sz w:val="30"/>
          <w:lang w:val="zh-CN"/>
        </w:rPr>
        <w:t>015.00</w:t>
      </w:r>
      <w:r>
        <w:rPr>
          <w:rFonts w:hint="eastAsia" w:ascii="仿宋" w:hAnsi="仿宋" w:eastAsia="仿宋" w:cs="仿宋"/>
          <w:kern w:val="0"/>
          <w:sz w:val="30"/>
          <w:szCs w:val="30"/>
          <w:highlight w:val="none"/>
          <w:lang w:eastAsia="zh-CN"/>
        </w:rPr>
        <w:t>元（其中：外事接待费支出决算</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eastAsia="zh-CN"/>
        </w:rPr>
        <w:t>国（境）外接待费支出决算</w:t>
      </w:r>
      <w:r>
        <w:rPr>
          <w:rFonts w:hint="eastAsia" w:ascii="仿宋" w:hAnsi="仿宋" w:eastAsia="仿宋" w:cs="仿宋"/>
          <w:color w:val="000000"/>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eastAsia="zh-CN"/>
        </w:rPr>
        <w:t>较上年增加</w:t>
      </w:r>
      <w:r>
        <w:rPr>
          <w:rFonts w:hint="eastAsia" w:ascii="仿宋" w:hAnsi="仿宋" w:eastAsia="仿宋" w:cs="仿宋"/>
          <w:kern w:val="0"/>
          <w:sz w:val="30"/>
          <w:szCs w:val="30"/>
          <w:highlight w:val="none"/>
          <w:lang w:val="en-US" w:eastAsia="zh-CN"/>
        </w:rPr>
        <w:t>0.00元，增长0.00%</w:t>
      </w:r>
      <w:r>
        <w:rPr>
          <w:rFonts w:hint="eastAsia" w:ascii="仿宋" w:hAnsi="仿宋" w:eastAsia="仿宋" w:cs="仿宋"/>
          <w:kern w:val="0"/>
          <w:sz w:val="30"/>
          <w:szCs w:val="30"/>
          <w:highlight w:val="none"/>
          <w:lang w:eastAsia="zh-CN"/>
        </w:rPr>
        <w:t>。</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年度一般公共预算财政拨款“三公”经费支出决算增加的主要原因</w:t>
      </w:r>
      <w:r>
        <w:rPr>
          <w:rFonts w:hint="eastAsia" w:ascii="仿宋" w:hAnsi="仿宋" w:eastAsia="仿宋" w:cs="仿宋"/>
          <w:sz w:val="30"/>
          <w:szCs w:val="30"/>
          <w:highlight w:val="none"/>
          <w:lang w:eastAsia="zh-CN"/>
        </w:rPr>
        <w:t>是</w:t>
      </w:r>
      <w:r>
        <w:rPr>
          <w:rFonts w:hint="eastAsia" w:ascii="仿宋" w:hAnsi="仿宋" w:eastAsia="仿宋" w:cs="仿宋"/>
          <w:color w:val="auto"/>
          <w:sz w:val="30"/>
          <w:szCs w:val="30"/>
          <w:highlight w:val="none"/>
          <w:lang w:eastAsia="zh-CN"/>
        </w:rPr>
        <w:t>上年无</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运行维护费支出，本年</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运行维护费支出</w:t>
      </w:r>
      <w:r>
        <w:rPr>
          <w:rFonts w:hint="eastAsia" w:ascii="仿宋" w:hAnsi="仿宋" w:eastAsia="仿宋" w:cs="仿宋"/>
          <w:color w:val="auto"/>
          <w:sz w:val="30"/>
          <w:lang w:val="zh-CN"/>
        </w:rPr>
        <w:t>12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000.00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一般公共预算财政拨款“三公”经费支出</w:t>
      </w:r>
      <w:r>
        <w:rPr>
          <w:rFonts w:hint="eastAsia" w:ascii="仿宋" w:hAnsi="仿宋" w:eastAsia="仿宋" w:cs="仿宋"/>
          <w:sz w:val="30"/>
          <w:szCs w:val="30"/>
          <w:highlight w:val="none"/>
          <w:lang w:eastAsia="zh-CN"/>
        </w:rPr>
        <w:t>实物量的</w:t>
      </w:r>
      <w:r>
        <w:rPr>
          <w:rFonts w:hint="eastAsia" w:ascii="仿宋" w:hAnsi="仿宋" w:eastAsia="仿宋" w:cs="仿宋"/>
          <w:sz w:val="30"/>
          <w:szCs w:val="30"/>
          <w:highlight w:val="none"/>
        </w:rPr>
        <w:t>具体情况</w:t>
      </w:r>
      <w:r>
        <w:rPr>
          <w:rFonts w:hint="eastAsia" w:ascii="仿宋" w:hAnsi="仿宋" w:eastAsia="仿宋" w:cs="仿宋"/>
          <w:sz w:val="30"/>
          <w:szCs w:val="30"/>
          <w:highlight w:val="none"/>
          <w:lang w:eastAsia="zh-CN"/>
        </w:rPr>
        <w:t>：</w:t>
      </w:r>
    </w:p>
    <w:p>
      <w:pPr>
        <w:widowControl/>
        <w:snapToGrid w:val="0"/>
        <w:spacing w:before="100" w:after="100" w:line="360" w:lineRule="auto"/>
        <w:ind w:firstLine="600" w:firstLineChars="200"/>
        <w:jc w:val="both"/>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1.安排因公出国（境）团组</w:t>
      </w:r>
      <w:r>
        <w:rPr>
          <w:rFonts w:hint="eastAsia" w:ascii="仿宋" w:hAnsi="仿宋" w:eastAsia="仿宋" w:cs="仿宋"/>
          <w:color w:val="000000"/>
          <w:sz w:val="30"/>
          <w:lang w:val="zh-CN"/>
        </w:rPr>
        <w:t>0</w:t>
      </w:r>
      <w:r>
        <w:rPr>
          <w:rFonts w:hint="eastAsia" w:ascii="仿宋" w:hAnsi="仿宋" w:eastAsia="仿宋" w:cs="仿宋"/>
          <w:b w:val="0"/>
          <w:bCs/>
          <w:sz w:val="30"/>
          <w:szCs w:val="30"/>
          <w:highlight w:val="none"/>
        </w:rPr>
        <w:t>个，累计</w:t>
      </w:r>
      <w:r>
        <w:rPr>
          <w:rFonts w:hint="eastAsia" w:ascii="仿宋" w:hAnsi="仿宋" w:eastAsia="仿宋" w:cs="仿宋"/>
          <w:color w:val="000000"/>
          <w:sz w:val="30"/>
          <w:lang w:val="zh-CN"/>
        </w:rPr>
        <w:t>0</w:t>
      </w:r>
      <w:r>
        <w:rPr>
          <w:rFonts w:hint="eastAsia" w:ascii="仿宋" w:hAnsi="仿宋" w:eastAsia="仿宋" w:cs="仿宋"/>
          <w:b w:val="0"/>
          <w:bCs/>
          <w:sz w:val="30"/>
          <w:szCs w:val="30"/>
          <w:highlight w:val="none"/>
        </w:rPr>
        <w:t>人次。</w:t>
      </w:r>
    </w:p>
    <w:p>
      <w:pPr>
        <w:spacing w:before="100" w:after="100" w:line="360" w:lineRule="auto"/>
        <w:ind w:firstLine="602"/>
        <w:jc w:val="both"/>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2.购置车辆</w:t>
      </w:r>
      <w:r>
        <w:rPr>
          <w:rFonts w:hint="eastAsia" w:ascii="仿宋" w:hAnsi="仿宋" w:eastAsia="仿宋" w:cs="仿宋"/>
          <w:color w:val="000000"/>
          <w:sz w:val="30"/>
          <w:lang w:val="zh-CN"/>
        </w:rPr>
        <w:t>0</w:t>
      </w:r>
      <w:r>
        <w:rPr>
          <w:rFonts w:hint="eastAsia" w:ascii="仿宋" w:hAnsi="仿宋" w:eastAsia="仿宋" w:cs="仿宋"/>
          <w:b w:val="0"/>
          <w:bCs/>
          <w:sz w:val="30"/>
          <w:szCs w:val="30"/>
          <w:highlight w:val="none"/>
        </w:rPr>
        <w:t>辆。开支一般公共预算财政拨款的公务用车保有量为</w:t>
      </w:r>
      <w:r>
        <w:rPr>
          <w:rFonts w:hint="eastAsia" w:ascii="仿宋" w:hAnsi="仿宋" w:eastAsia="仿宋" w:cs="仿宋"/>
          <w:color w:val="000000"/>
          <w:sz w:val="30"/>
          <w:lang w:val="zh-CN"/>
        </w:rPr>
        <w:t>1</w:t>
      </w:r>
      <w:r>
        <w:rPr>
          <w:rFonts w:hint="eastAsia" w:ascii="仿宋" w:hAnsi="仿宋" w:eastAsia="仿宋" w:cs="仿宋"/>
          <w:b w:val="0"/>
          <w:bCs/>
          <w:sz w:val="30"/>
          <w:szCs w:val="30"/>
          <w:highlight w:val="none"/>
        </w:rPr>
        <w:t>辆。</w:t>
      </w:r>
      <w:r>
        <w:rPr>
          <w:rFonts w:hint="eastAsia" w:ascii="仿宋" w:hAnsi="仿宋" w:eastAsia="仿宋" w:cs="仿宋"/>
          <w:color w:val="000000"/>
          <w:sz w:val="30"/>
          <w:lang w:val="en-US"/>
        </w:rPr>
        <w:t>主要用于</w:t>
      </w:r>
      <w:r>
        <w:rPr>
          <w:rFonts w:hint="eastAsia" w:ascii="仿宋" w:hAnsi="仿宋" w:eastAsia="仿宋" w:cs="仿宋"/>
          <w:color w:val="000000"/>
          <w:sz w:val="30"/>
          <w:lang w:val="en-US" w:eastAsia="zh-CN"/>
        </w:rPr>
        <w:t>林业和草原相关工作</w:t>
      </w:r>
      <w:r>
        <w:rPr>
          <w:rFonts w:hint="eastAsia" w:ascii="仿宋" w:hAnsi="仿宋" w:eastAsia="仿宋" w:cs="仿宋"/>
          <w:color w:val="000000"/>
          <w:sz w:val="30"/>
          <w:lang w:val="en-US"/>
        </w:rPr>
        <w:t>所需车辆燃料费、维修费、过路过桥费、保险费等。</w:t>
      </w:r>
    </w:p>
    <w:p>
      <w:pPr>
        <w:keepNext w:val="0"/>
        <w:keepLines w:val="0"/>
        <w:pageBreakBefore w:val="0"/>
        <w:widowControl/>
        <w:suppressLineNumbers w:val="0"/>
        <w:kinsoku/>
        <w:wordWrap/>
        <w:overflowPunct/>
        <w:topLinePunct w:val="0"/>
        <w:autoSpaceDE/>
        <w:autoSpaceDN/>
        <w:bidi w:val="0"/>
        <w:snapToGrid w:val="0"/>
        <w:spacing w:before="100" w:beforeAutospacing="0" w:after="100" w:afterAutospacing="0" w:line="360" w:lineRule="auto"/>
        <w:ind w:left="0" w:firstLine="600" w:firstLineChars="200"/>
        <w:jc w:val="both"/>
        <w:rPr>
          <w:rFonts w:hint="eastAsia" w:ascii="仿宋" w:hAnsi="仿宋" w:eastAsia="仿宋" w:cs="仿宋"/>
          <w:b/>
          <w:color w:val="000000"/>
          <w:sz w:val="30"/>
          <w:lang w:val="en-US"/>
        </w:rPr>
      </w:pPr>
      <w:r>
        <w:rPr>
          <w:rFonts w:hint="eastAsia" w:ascii="仿宋" w:hAnsi="仿宋" w:eastAsia="仿宋" w:cs="仿宋"/>
          <w:b w:val="0"/>
          <w:bCs/>
          <w:sz w:val="30"/>
          <w:szCs w:val="30"/>
          <w:highlight w:val="none"/>
        </w:rPr>
        <w:t>3.安排</w:t>
      </w:r>
      <w:r>
        <w:rPr>
          <w:rFonts w:hint="eastAsia" w:ascii="仿宋" w:hAnsi="仿宋" w:eastAsia="仿宋" w:cs="仿宋"/>
          <w:sz w:val="30"/>
          <w:szCs w:val="30"/>
          <w:highlight w:val="none"/>
        </w:rPr>
        <w:t>国内公务接待</w:t>
      </w:r>
      <w:r>
        <w:rPr>
          <w:rFonts w:hint="eastAsia" w:ascii="仿宋" w:hAnsi="仿宋" w:eastAsia="仿宋" w:cs="仿宋"/>
          <w:color w:val="000000"/>
          <w:sz w:val="30"/>
          <w:lang w:val="zh-CN"/>
        </w:rPr>
        <w:t>15</w:t>
      </w:r>
      <w:r>
        <w:rPr>
          <w:rFonts w:hint="eastAsia" w:ascii="仿宋" w:hAnsi="仿宋" w:eastAsia="仿宋" w:cs="仿宋"/>
          <w:sz w:val="30"/>
          <w:szCs w:val="30"/>
          <w:highlight w:val="none"/>
        </w:rPr>
        <w:t>批次（其中：外事接待</w:t>
      </w:r>
      <w:r>
        <w:rPr>
          <w:rFonts w:hint="eastAsia" w:ascii="仿宋" w:hAnsi="仿宋" w:eastAsia="仿宋" w:cs="仿宋"/>
          <w:color w:val="000000"/>
          <w:sz w:val="30"/>
          <w:lang w:val="zh-CN"/>
        </w:rPr>
        <w:t>0</w:t>
      </w:r>
      <w:r>
        <w:rPr>
          <w:rFonts w:hint="eastAsia" w:ascii="仿宋" w:hAnsi="仿宋" w:eastAsia="仿宋" w:cs="仿宋"/>
          <w:sz w:val="30"/>
          <w:szCs w:val="30"/>
          <w:highlight w:val="none"/>
        </w:rPr>
        <w:t>批次），接待人次</w:t>
      </w:r>
      <w:r>
        <w:rPr>
          <w:rFonts w:hint="eastAsia" w:ascii="仿宋" w:hAnsi="仿宋" w:eastAsia="仿宋" w:cs="仿宋"/>
          <w:color w:val="000000"/>
          <w:sz w:val="30"/>
          <w:lang w:val="zh-CN"/>
        </w:rPr>
        <w:t>92</w:t>
      </w:r>
      <w:r>
        <w:rPr>
          <w:rFonts w:hint="eastAsia" w:ascii="仿宋" w:hAnsi="仿宋" w:eastAsia="仿宋" w:cs="仿宋"/>
          <w:sz w:val="30"/>
          <w:szCs w:val="30"/>
          <w:highlight w:val="none"/>
        </w:rPr>
        <w:t>人（其中：外事接待人次</w:t>
      </w:r>
      <w:r>
        <w:rPr>
          <w:rFonts w:hint="eastAsia" w:ascii="仿宋" w:hAnsi="仿宋" w:eastAsia="仿宋" w:cs="仿宋"/>
          <w:color w:val="000000"/>
          <w:sz w:val="30"/>
          <w:lang w:val="zh-CN"/>
        </w:rPr>
        <w:t>0</w:t>
      </w:r>
      <w:r>
        <w:rPr>
          <w:rFonts w:hint="eastAsia" w:ascii="仿宋" w:hAnsi="仿宋" w:eastAsia="仿宋" w:cs="仿宋"/>
          <w:sz w:val="30"/>
          <w:szCs w:val="30"/>
          <w:highlight w:val="none"/>
        </w:rPr>
        <w:t>人）。</w:t>
      </w:r>
      <w:r>
        <w:rPr>
          <w:rFonts w:hint="eastAsia" w:ascii="仿宋" w:hAnsi="仿宋" w:eastAsia="仿宋" w:cs="仿宋"/>
          <w:color w:val="000000"/>
          <w:kern w:val="0"/>
          <w:sz w:val="30"/>
          <w:szCs w:val="30"/>
        </w:rPr>
        <w:t>主要用于林业和草原相关工作产生的接待批次及人次等发生的接待支出。</w:t>
      </w:r>
    </w:p>
    <w:p>
      <w:pPr>
        <w:widowControl/>
        <w:snapToGrid w:val="0"/>
        <w:spacing w:before="100" w:after="100" w:line="360" w:lineRule="auto"/>
        <w:ind w:firstLine="600" w:firstLineChars="200"/>
        <w:jc w:val="both"/>
        <w:rPr>
          <w:rFonts w:hint="eastAsia" w:ascii="仿宋" w:hAnsi="仿宋" w:eastAsia="仿宋" w:cs="仿宋"/>
          <w:b w:val="0"/>
          <w:bCs/>
          <w:color w:val="FF0000"/>
          <w:sz w:val="30"/>
          <w:szCs w:val="30"/>
          <w:highlight w:val="none"/>
          <w:lang w:eastAsia="zh-CN"/>
        </w:rPr>
      </w:pP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 w:hAnsi="仿宋" w:eastAsia="仿宋" w:cs="仿宋"/>
          <w:sz w:val="30"/>
          <w:szCs w:val="30"/>
          <w:highlight w:val="none"/>
          <w:lang w:eastAsia="zh-CN"/>
        </w:rPr>
        <w:t>本单位不存在需要说明的事项。</w:t>
      </w:r>
    </w:p>
    <w:p>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ind w:firstLine="600" w:firstLineChars="200"/>
        <w:jc w:val="both"/>
        <w:rPr>
          <w:rFonts w:hint="eastAsia" w:ascii="仿宋" w:hAnsi="仿宋" w:eastAsia="仿宋" w:cs="仿宋"/>
          <w:sz w:val="30"/>
          <w:szCs w:val="30"/>
          <w:highlight w:val="none"/>
        </w:rPr>
      </w:pPr>
      <w:r>
        <w:rPr>
          <w:rFonts w:hint="eastAsia" w:ascii="仿宋" w:hAnsi="仿宋" w:eastAsia="仿宋" w:cs="仿宋"/>
          <w:color w:val="auto"/>
          <w:sz w:val="30"/>
          <w:lang w:val="zh-CN"/>
        </w:rPr>
        <w:t>华宁县林业和草原局（本级）</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年机关运行经费支出</w:t>
      </w:r>
      <w:r>
        <w:rPr>
          <w:rFonts w:hint="eastAsia" w:ascii="仿宋" w:hAnsi="仿宋" w:eastAsia="仿宋" w:cs="仿宋"/>
          <w:color w:val="auto"/>
          <w:sz w:val="30"/>
          <w:lang w:val="en-US" w:eastAsia="zh-CN"/>
        </w:rPr>
        <w:t>388,564.53</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比上年</w:t>
      </w:r>
      <w:r>
        <w:rPr>
          <w:rFonts w:hint="eastAsia" w:ascii="仿宋" w:hAnsi="仿宋" w:eastAsia="仿宋" w:cs="仿宋"/>
          <w:sz w:val="30"/>
          <w:szCs w:val="30"/>
          <w:highlight w:val="none"/>
        </w:rPr>
        <w:t>增加</w:t>
      </w:r>
      <w:r>
        <w:rPr>
          <w:rFonts w:hint="eastAsia" w:ascii="仿宋" w:hAnsi="仿宋" w:eastAsia="仿宋" w:cs="仿宋"/>
          <w:color w:val="auto"/>
          <w:sz w:val="30"/>
          <w:lang w:val="en-US" w:eastAsia="zh-CN"/>
        </w:rPr>
        <w:t>12,182.72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eastAsia" w:ascii="仿宋" w:hAnsi="仿宋" w:eastAsia="仿宋" w:cs="仿宋"/>
          <w:color w:val="000000"/>
          <w:sz w:val="30"/>
          <w:lang w:val="zh-CN"/>
        </w:rPr>
        <w:t>3.24</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w:t>
      </w:r>
      <w:r>
        <w:rPr>
          <w:rFonts w:hint="eastAsia" w:ascii="仿宋" w:hAnsi="仿宋" w:eastAsia="仿宋" w:cs="仿宋"/>
          <w:color w:val="auto"/>
          <w:sz w:val="30"/>
          <w:szCs w:val="30"/>
          <w:highlight w:val="none"/>
          <w:lang w:eastAsia="zh-CN"/>
        </w:rPr>
        <w:t>上年无</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运行维护费支出，本年</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运行维护费支出</w:t>
      </w:r>
      <w:r>
        <w:rPr>
          <w:rFonts w:hint="eastAsia" w:ascii="仿宋" w:hAnsi="仿宋" w:eastAsia="仿宋" w:cs="仿宋"/>
          <w:color w:val="auto"/>
          <w:sz w:val="30"/>
          <w:lang w:val="zh-CN"/>
        </w:rPr>
        <w:t>12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000.00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p>
    <w:p>
      <w:pPr>
        <w:widowControl/>
        <w:ind w:firstLine="600" w:firstLineChars="200"/>
        <w:jc w:val="both"/>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widowControl/>
        <w:ind w:firstLine="600" w:firstLineChars="200"/>
        <w:jc w:val="both"/>
        <w:rPr>
          <w:rFonts w:hint="eastAsia" w:ascii="仿宋" w:hAnsi="仿宋" w:eastAsia="仿宋" w:cs="仿宋"/>
          <w:color w:val="000000"/>
          <w:kern w:val="0"/>
          <w:sz w:val="30"/>
          <w:szCs w:val="30"/>
          <w:highlight w:val="none"/>
        </w:rPr>
      </w:pPr>
      <w:r>
        <w:rPr>
          <w:rFonts w:hint="eastAsia" w:ascii="仿宋" w:hAnsi="仿宋" w:eastAsia="仿宋" w:cs="仿宋"/>
          <w:sz w:val="30"/>
          <w:szCs w:val="30"/>
          <w:highlight w:val="none"/>
          <w:lang w:eastAsia="zh-CN"/>
        </w:rPr>
        <w:t>截至2024年末，</w:t>
      </w:r>
      <w:r>
        <w:rPr>
          <w:rFonts w:hint="eastAsia" w:ascii="仿宋" w:hAnsi="仿宋" w:eastAsia="仿宋" w:cs="仿宋"/>
          <w:color w:val="auto"/>
          <w:sz w:val="30"/>
          <w:lang w:val="zh-CN"/>
        </w:rPr>
        <w:t>华宁县林业和草原局（本级）</w:t>
      </w:r>
      <w:r>
        <w:rPr>
          <w:rFonts w:hint="eastAsia" w:ascii="仿宋" w:hAnsi="仿宋" w:eastAsia="仿宋" w:cs="仿宋"/>
          <w:sz w:val="30"/>
          <w:szCs w:val="30"/>
          <w:highlight w:val="none"/>
          <w:lang w:eastAsia="zh-CN"/>
        </w:rPr>
        <w:t>资产总额</w:t>
      </w:r>
      <w:r>
        <w:rPr>
          <w:rFonts w:hint="eastAsia" w:ascii="仿宋" w:hAnsi="仿宋" w:eastAsia="仿宋" w:cs="仿宋"/>
          <w:sz w:val="30"/>
          <w:szCs w:val="30"/>
          <w:highlight w:val="none"/>
          <w:lang w:val="en-US" w:eastAsia="zh-CN"/>
        </w:rPr>
        <w:t>2,929,515.46</w:t>
      </w:r>
      <w:r>
        <w:rPr>
          <w:rFonts w:hint="eastAsia" w:ascii="仿宋" w:hAnsi="仿宋" w:eastAsia="仿宋" w:cs="仿宋"/>
          <w:sz w:val="30"/>
          <w:szCs w:val="30"/>
          <w:highlight w:val="none"/>
          <w:lang w:eastAsia="zh-CN"/>
        </w:rPr>
        <w:t>元，其中，流动资产</w:t>
      </w:r>
      <w:r>
        <w:rPr>
          <w:rFonts w:hint="eastAsia" w:ascii="仿宋" w:hAnsi="仿宋" w:eastAsia="仿宋" w:cs="仿宋"/>
          <w:sz w:val="30"/>
          <w:szCs w:val="30"/>
          <w:highlight w:val="none"/>
          <w:lang w:val="en-US" w:eastAsia="zh-CN"/>
        </w:rPr>
        <w:t>1,425,522.50</w:t>
      </w:r>
      <w:r>
        <w:rPr>
          <w:rFonts w:hint="eastAsia" w:ascii="仿宋" w:hAnsi="仿宋" w:eastAsia="仿宋" w:cs="仿宋"/>
          <w:sz w:val="30"/>
          <w:szCs w:val="30"/>
          <w:highlight w:val="none"/>
          <w:lang w:eastAsia="zh-CN"/>
        </w:rPr>
        <w:t>元，固定资产</w:t>
      </w:r>
      <w:r>
        <w:rPr>
          <w:rFonts w:hint="eastAsia" w:ascii="仿宋" w:hAnsi="仿宋" w:eastAsia="仿宋" w:cs="仿宋"/>
          <w:sz w:val="30"/>
          <w:szCs w:val="30"/>
          <w:highlight w:val="none"/>
          <w:lang w:val="en-US" w:eastAsia="zh-CN"/>
        </w:rPr>
        <w:t>1,503,991.96</w:t>
      </w:r>
      <w:r>
        <w:rPr>
          <w:rFonts w:hint="eastAsia" w:ascii="仿宋" w:hAnsi="仿宋" w:eastAsia="仿宋" w:cs="仿宋"/>
          <w:sz w:val="30"/>
          <w:szCs w:val="30"/>
          <w:highlight w:val="none"/>
          <w:lang w:eastAsia="zh-CN"/>
        </w:rPr>
        <w:t>元（净值），对外投资及有价证券</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eastAsia="zh-CN"/>
        </w:rPr>
        <w:t>元，在建工程</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eastAsia="zh-CN"/>
        </w:rPr>
        <w:t>元，无形资产</w:t>
      </w:r>
      <w:r>
        <w:rPr>
          <w:rFonts w:hint="eastAsia" w:ascii="仿宋" w:hAnsi="仿宋" w:eastAsia="仿宋" w:cs="仿宋"/>
          <w:sz w:val="30"/>
          <w:szCs w:val="30"/>
          <w:highlight w:val="none"/>
          <w:lang w:val="en-US" w:eastAsia="zh-CN"/>
        </w:rPr>
        <w:t>1.00</w:t>
      </w:r>
      <w:r>
        <w:rPr>
          <w:rFonts w:hint="eastAsia" w:ascii="仿宋" w:hAnsi="仿宋" w:eastAsia="仿宋" w:cs="仿宋"/>
          <w:sz w:val="30"/>
          <w:szCs w:val="30"/>
          <w:highlight w:val="none"/>
          <w:lang w:eastAsia="zh-CN"/>
        </w:rPr>
        <w:t>元（净值），其他资产</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eastAsia="zh-CN"/>
        </w:rPr>
        <w:t>元（净值）（具体内容详见附表）</w:t>
      </w:r>
      <w:r>
        <w:rPr>
          <w:rFonts w:hint="eastAsia" w:ascii="仿宋" w:hAnsi="仿宋" w:eastAsia="仿宋" w:cs="仿宋"/>
          <w:color w:val="000000"/>
          <w:kern w:val="0"/>
          <w:sz w:val="30"/>
          <w:szCs w:val="30"/>
          <w:highlight w:val="none"/>
        </w:rPr>
        <w:t>。与上年相比，本年资产总额增加</w:t>
      </w:r>
      <w:r>
        <w:rPr>
          <w:rFonts w:hint="eastAsia" w:ascii="仿宋" w:hAnsi="仿宋" w:eastAsia="仿宋" w:cs="仿宋"/>
          <w:color w:val="000000"/>
          <w:kern w:val="0"/>
          <w:sz w:val="30"/>
          <w:szCs w:val="30"/>
          <w:highlight w:val="none"/>
          <w:lang w:val="en-US" w:eastAsia="zh-CN"/>
        </w:rPr>
        <w:t>369,049.85</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，其中固定资产增加</w:t>
      </w:r>
      <w:r>
        <w:rPr>
          <w:rFonts w:hint="eastAsia" w:ascii="仿宋" w:hAnsi="仿宋" w:eastAsia="仿宋" w:cs="仿宋"/>
          <w:color w:val="000000"/>
          <w:kern w:val="0"/>
          <w:sz w:val="30"/>
          <w:szCs w:val="30"/>
          <w:highlight w:val="none"/>
          <w:lang w:val="en-US" w:eastAsia="zh-CN"/>
        </w:rPr>
        <w:t>587,576.16</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。处置房屋建筑物</w:t>
      </w:r>
      <w:r>
        <w:rPr>
          <w:rFonts w:hint="eastAsia" w:ascii="仿宋" w:hAnsi="仿宋" w:eastAsia="仿宋" w:cs="仿宋"/>
          <w:color w:val="000000"/>
          <w:kern w:val="0"/>
          <w:sz w:val="30"/>
          <w:szCs w:val="30"/>
          <w:highlight w:val="none"/>
          <w:lang w:val="en-US" w:eastAsia="zh-CN"/>
        </w:rPr>
        <w:t>288</w:t>
      </w:r>
      <w:r>
        <w:rPr>
          <w:rFonts w:hint="eastAsia" w:ascii="仿宋" w:hAnsi="仿宋" w:eastAsia="仿宋" w:cs="仿宋"/>
          <w:color w:val="000000"/>
          <w:kern w:val="0"/>
          <w:sz w:val="30"/>
          <w:szCs w:val="30"/>
          <w:highlight w:val="none"/>
        </w:rPr>
        <w:t>平方米，账面原值</w:t>
      </w:r>
      <w:r>
        <w:rPr>
          <w:rFonts w:hint="eastAsia" w:ascii="仿宋" w:hAnsi="仿宋" w:eastAsia="仿宋" w:cs="仿宋"/>
          <w:color w:val="000000"/>
          <w:kern w:val="0"/>
          <w:sz w:val="30"/>
          <w:szCs w:val="30"/>
          <w:highlight w:val="none"/>
          <w:lang w:val="en-US" w:eastAsia="zh-CN"/>
        </w:rPr>
        <w:t>64,829.76</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w:t>
      </w:r>
      <w:r>
        <w:rPr>
          <w:rFonts w:hint="eastAsia" w:ascii="仿宋" w:hAnsi="仿宋" w:eastAsia="仿宋" w:cs="仿宋"/>
          <w:color w:val="000000"/>
          <w:kern w:val="0"/>
          <w:sz w:val="30"/>
          <w:szCs w:val="30"/>
          <w:highlight w:val="none"/>
          <w:lang w:val="en-US" w:eastAsia="zh-CN"/>
        </w:rPr>
        <w:t>0</w:t>
      </w:r>
      <w:r>
        <w:rPr>
          <w:rFonts w:hint="eastAsia" w:ascii="仿宋" w:hAnsi="仿宋" w:eastAsia="仿宋" w:cs="仿宋"/>
          <w:color w:val="000000"/>
          <w:kern w:val="0"/>
          <w:sz w:val="30"/>
          <w:szCs w:val="30"/>
          <w:highlight w:val="none"/>
        </w:rPr>
        <w:t>辆，账面原值</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w:t>
      </w:r>
      <w:r>
        <w:rPr>
          <w:rFonts w:hint="eastAsia" w:ascii="仿宋" w:hAnsi="仿宋" w:eastAsia="仿宋" w:cs="仿宋"/>
          <w:color w:val="000000"/>
          <w:kern w:val="0"/>
          <w:sz w:val="30"/>
          <w:szCs w:val="30"/>
          <w:highlight w:val="none"/>
          <w:lang w:val="en-US" w:eastAsia="zh-CN"/>
        </w:rPr>
        <w:t>5</w:t>
      </w:r>
      <w:r>
        <w:rPr>
          <w:rFonts w:hint="eastAsia" w:ascii="仿宋" w:hAnsi="仿宋" w:eastAsia="仿宋" w:cs="仿宋"/>
          <w:color w:val="000000"/>
          <w:kern w:val="0"/>
          <w:sz w:val="30"/>
          <w:szCs w:val="30"/>
          <w:highlight w:val="none"/>
        </w:rPr>
        <w:t>项，账面原值</w:t>
      </w:r>
      <w:r>
        <w:rPr>
          <w:rFonts w:hint="eastAsia" w:ascii="仿宋" w:hAnsi="仿宋" w:eastAsia="仿宋" w:cs="仿宋"/>
          <w:color w:val="000000"/>
          <w:kern w:val="0"/>
          <w:sz w:val="30"/>
          <w:szCs w:val="30"/>
          <w:highlight w:val="none"/>
          <w:lang w:val="en-US" w:eastAsia="zh-CN"/>
        </w:rPr>
        <w:t>11,790.00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w:t>
      </w:r>
      <w:r>
        <w:rPr>
          <w:rFonts w:hint="eastAsia" w:ascii="仿宋" w:hAnsi="仿宋" w:eastAsia="仿宋" w:cs="仿宋"/>
          <w:color w:val="000000"/>
          <w:kern w:val="0"/>
          <w:sz w:val="30"/>
          <w:szCs w:val="30"/>
          <w:highlight w:val="none"/>
          <w:lang w:val="en-US" w:eastAsia="zh-CN"/>
        </w:rPr>
        <w:t>0</w:t>
      </w:r>
      <w:r>
        <w:rPr>
          <w:rFonts w:hint="eastAsia" w:ascii="仿宋" w:hAnsi="仿宋" w:eastAsia="仿宋" w:cs="仿宋"/>
          <w:color w:val="000000"/>
          <w:kern w:val="0"/>
          <w:sz w:val="30"/>
          <w:szCs w:val="30"/>
          <w:highlight w:val="none"/>
        </w:rPr>
        <w:t>平方米，账面原值</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pPr>
        <w:widowControl/>
        <w:ind w:firstLine="600" w:firstLineChars="200"/>
        <w:jc w:val="both"/>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tbl>
      <w:tblPr>
        <w:tblStyle w:val="8"/>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widowControl/>
              <w:jc w:val="left"/>
              <w:rPr>
                <w:rFonts w:ascii="Times New Roman" w:hAnsi="Times New Roman" w:eastAsia="Times New Roman"/>
                <w:kern w:val="0"/>
                <w:sz w:val="20"/>
                <w:szCs w:val="20"/>
                <w:highlight w:val="none"/>
              </w:rPr>
            </w:pPr>
          </w:p>
        </w:tc>
      </w:tr>
    </w:tbl>
    <w:p>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color w:val="auto"/>
          <w:sz w:val="30"/>
          <w:lang w:val="zh-CN"/>
        </w:rPr>
        <w:t>126</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299.53</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color w:val="auto"/>
          <w:sz w:val="30"/>
          <w:lang w:val="zh-CN"/>
        </w:rPr>
        <w:t>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500.00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color w:val="auto"/>
          <w:sz w:val="30"/>
          <w:lang w:val="zh-CN"/>
        </w:rPr>
        <w:t>118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799.53</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color w:val="auto"/>
          <w:sz w:val="30"/>
          <w:lang w:val="zh-CN"/>
        </w:rPr>
        <w:t>29</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090.00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color w:val="auto"/>
          <w:sz w:val="30"/>
          <w:lang w:val="zh-CN"/>
        </w:rPr>
        <w:t>21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590.00</w:t>
      </w:r>
      <w:r>
        <w:rPr>
          <w:rFonts w:hint="eastAsia" w:ascii="仿宋" w:hAnsi="仿宋" w:eastAsia="仿宋" w:cs="仿宋"/>
          <w:sz w:val="30"/>
          <w:szCs w:val="30"/>
          <w:highlight w:val="none"/>
          <w:lang w:val="en-US" w:eastAsia="zh-CN"/>
        </w:rPr>
        <w:t>元。</w:t>
      </w:r>
    </w:p>
    <w:p>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pPr>
        <w:keepNext/>
        <w:keepLines/>
        <w:spacing w:line="590" w:lineRule="exact"/>
        <w:ind w:firstLine="600"/>
        <w:jc w:val="both"/>
        <w:rPr>
          <w:rFonts w:hint="eastAsia" w:ascii="仿宋" w:hAnsi="仿宋" w:eastAsia="仿宋"/>
          <w:color w:val="000000"/>
          <w:sz w:val="30"/>
          <w:lang w:val="en-US"/>
        </w:rPr>
      </w:pPr>
      <w:r>
        <w:rPr>
          <w:rFonts w:hint="eastAsia" w:ascii="仿宋" w:hAnsi="仿宋" w:eastAsia="仿宋"/>
          <w:color w:val="000000"/>
          <w:sz w:val="30"/>
          <w:lang w:val="en-US"/>
        </w:rPr>
        <w:t>部门绩效自评情况详见附表</w:t>
      </w:r>
      <w:r>
        <w:rPr>
          <w:rFonts w:hint="eastAsia" w:ascii="仿宋" w:hAnsi="仿宋" w:eastAsia="仿宋"/>
          <w:color w:val="000000"/>
          <w:sz w:val="30"/>
          <w:lang w:val="en-US" w:eastAsia="zh-CN"/>
        </w:rPr>
        <w:t>（附表13-15）</w:t>
      </w:r>
      <w:r>
        <w:rPr>
          <w:rFonts w:hint="eastAsia" w:ascii="仿宋" w:hAnsi="仿宋" w:eastAsia="仿宋"/>
          <w:color w:val="000000"/>
          <w:sz w:val="30"/>
          <w:lang w:val="en-US"/>
        </w:rPr>
        <w:t>。</w:t>
      </w:r>
    </w:p>
    <w:p>
      <w:pPr>
        <w:pStyle w:val="12"/>
        <w:keepNext w:val="0"/>
        <w:keepLines w:val="0"/>
        <w:pageBreakBefore w:val="0"/>
        <w:widowControl w:val="0"/>
        <w:kinsoku/>
        <w:wordWrap/>
        <w:overflowPunct/>
        <w:topLinePunct w:val="0"/>
        <w:autoSpaceDE/>
        <w:autoSpaceDN/>
        <w:bidi w:val="0"/>
        <w:snapToGrid/>
        <w:spacing w:before="0" w:after="0" w:line="360" w:lineRule="auto"/>
        <w:ind w:left="0" w:right="0" w:firstLine="640"/>
        <w:jc w:val="both"/>
        <w:rPr>
          <w:rFonts w:hint="eastAsia" w:ascii="仿宋" w:hAnsi="仿宋" w:eastAsia="仿宋"/>
          <w:sz w:val="30"/>
          <w:szCs w:val="30"/>
        </w:rPr>
      </w:pPr>
      <w:r>
        <w:rPr>
          <w:rFonts w:hint="eastAsia" w:ascii="仿宋" w:hAnsi="仿宋" w:eastAsia="仿宋"/>
          <w:sz w:val="30"/>
          <w:szCs w:val="30"/>
        </w:rPr>
        <w:t>（一）部门整体支出绩效自评情况</w:t>
      </w:r>
    </w:p>
    <w:p>
      <w:pPr>
        <w:pStyle w:val="12"/>
        <w:keepNext w:val="0"/>
        <w:keepLines w:val="0"/>
        <w:pageBreakBefore w:val="0"/>
        <w:widowControl w:val="0"/>
        <w:kinsoku/>
        <w:wordWrap/>
        <w:overflowPunct/>
        <w:topLinePunct w:val="0"/>
        <w:autoSpaceDE/>
        <w:autoSpaceDN/>
        <w:bidi w:val="0"/>
        <w:snapToGrid/>
        <w:spacing w:before="0" w:after="0" w:line="360" w:lineRule="auto"/>
        <w:ind w:left="0" w:right="0" w:firstLine="640"/>
        <w:jc w:val="both"/>
        <w:rPr>
          <w:rFonts w:hint="eastAsia" w:ascii="仿宋" w:hAnsi="仿宋" w:eastAsia="仿宋"/>
          <w:sz w:val="30"/>
          <w:szCs w:val="30"/>
          <w:lang w:eastAsia="zh-CN"/>
        </w:rPr>
      </w:pPr>
      <w:r>
        <w:rPr>
          <w:rFonts w:hint="eastAsia" w:ascii="仿宋" w:hAnsi="仿宋" w:eastAsia="仿宋"/>
          <w:sz w:val="30"/>
          <w:szCs w:val="30"/>
        </w:rPr>
        <w:t>1.</w:t>
      </w:r>
      <w:r>
        <w:rPr>
          <w:rFonts w:hint="eastAsia" w:ascii="仿宋" w:hAnsi="仿宋" w:eastAsia="仿宋"/>
          <w:sz w:val="30"/>
          <w:szCs w:val="30"/>
          <w:lang w:eastAsia="zh-CN"/>
        </w:rPr>
        <w:t>前期准备</w:t>
      </w:r>
    </w:p>
    <w:p>
      <w:pPr>
        <w:pStyle w:val="12"/>
        <w:keepNext w:val="0"/>
        <w:keepLines w:val="0"/>
        <w:pageBreakBefore w:val="0"/>
        <w:widowControl w:val="0"/>
        <w:kinsoku/>
        <w:wordWrap/>
        <w:overflowPunct/>
        <w:topLinePunct w:val="0"/>
        <w:autoSpaceDE/>
        <w:autoSpaceDN/>
        <w:bidi w:val="0"/>
        <w:snapToGrid/>
        <w:spacing w:before="0" w:after="0" w:line="360" w:lineRule="auto"/>
        <w:ind w:left="0" w:right="0" w:firstLine="640"/>
        <w:jc w:val="both"/>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确定本部门绩效评价对象和范围，制定工作方案和实施计划；</w:t>
      </w:r>
    </w:p>
    <w:p>
      <w:pPr>
        <w:pStyle w:val="12"/>
        <w:keepNext w:val="0"/>
        <w:keepLines w:val="0"/>
        <w:pageBreakBefore w:val="0"/>
        <w:widowControl w:val="0"/>
        <w:kinsoku/>
        <w:wordWrap/>
        <w:overflowPunct/>
        <w:topLinePunct w:val="0"/>
        <w:autoSpaceDE/>
        <w:autoSpaceDN/>
        <w:bidi w:val="0"/>
        <w:snapToGrid/>
        <w:spacing w:before="0" w:after="0" w:line="360" w:lineRule="auto"/>
        <w:ind w:left="0" w:right="0" w:firstLine="640"/>
        <w:jc w:val="both"/>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局办公室财务负责下达绩效评价通知；</w:t>
      </w:r>
    </w:p>
    <w:p>
      <w:pPr>
        <w:pStyle w:val="12"/>
        <w:keepNext w:val="0"/>
        <w:keepLines w:val="0"/>
        <w:pageBreakBefore w:val="0"/>
        <w:widowControl w:val="0"/>
        <w:kinsoku/>
        <w:wordWrap/>
        <w:overflowPunct/>
        <w:topLinePunct w:val="0"/>
        <w:autoSpaceDE/>
        <w:autoSpaceDN/>
        <w:bidi w:val="0"/>
        <w:snapToGrid/>
        <w:spacing w:before="0" w:after="0" w:line="360" w:lineRule="auto"/>
        <w:ind w:left="0" w:right="0" w:firstLine="640"/>
        <w:jc w:val="both"/>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项目执行股室负责收集整理项目实施方案，验收报告等相关资料。</w:t>
      </w:r>
    </w:p>
    <w:p>
      <w:pPr>
        <w:pStyle w:val="12"/>
        <w:keepNext w:val="0"/>
        <w:keepLines w:val="0"/>
        <w:pageBreakBefore w:val="0"/>
        <w:widowControl w:val="0"/>
        <w:numPr>
          <w:ilvl w:val="0"/>
          <w:numId w:val="0"/>
        </w:numPr>
        <w:kinsoku/>
        <w:wordWrap/>
        <w:overflowPunct/>
        <w:topLinePunct w:val="0"/>
        <w:autoSpaceDE/>
        <w:autoSpaceDN/>
        <w:bidi w:val="0"/>
        <w:snapToGrid/>
        <w:spacing w:before="0" w:after="0" w:line="360" w:lineRule="auto"/>
        <w:ind w:left="640" w:leftChars="0" w:right="0" w:rightChars="0"/>
        <w:jc w:val="both"/>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2.</w:t>
      </w:r>
      <w:r>
        <w:rPr>
          <w:rFonts w:hint="eastAsia" w:ascii="仿宋" w:hAnsi="仿宋" w:eastAsia="仿宋"/>
          <w:b w:val="0"/>
          <w:bCs w:val="0"/>
          <w:sz w:val="30"/>
          <w:szCs w:val="30"/>
          <w:lang w:eastAsia="zh-CN"/>
        </w:rPr>
        <w:t>组织实施</w:t>
      </w:r>
    </w:p>
    <w:p>
      <w:pPr>
        <w:pStyle w:val="12"/>
        <w:keepNext w:val="0"/>
        <w:keepLines w:val="0"/>
        <w:pageBreakBefore w:val="0"/>
        <w:widowControl w:val="0"/>
        <w:numPr>
          <w:ilvl w:val="0"/>
          <w:numId w:val="0"/>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sz w:val="30"/>
          <w:szCs w:val="30"/>
        </w:rPr>
      </w:pPr>
      <w:r>
        <w:rPr>
          <w:rFonts w:hint="eastAsia" w:ascii="仿宋" w:hAnsi="仿宋" w:eastAsia="仿宋"/>
          <w:sz w:val="30"/>
          <w:szCs w:val="30"/>
        </w:rPr>
        <w:t>绩效自评由办公室牵头组织实施，预算绩效考核领导小组负责督促各项目执行股、站、室做好考核工作，协调解决考核中的重大问题。</w:t>
      </w:r>
    </w:p>
    <w:p>
      <w:pPr>
        <w:pStyle w:val="12"/>
        <w:keepNext w:val="0"/>
        <w:keepLines w:val="0"/>
        <w:pageBreakBefore w:val="0"/>
        <w:widowControl w:val="0"/>
        <w:numPr>
          <w:ilvl w:val="0"/>
          <w:numId w:val="2"/>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sz w:val="30"/>
          <w:szCs w:val="30"/>
        </w:rPr>
      </w:pPr>
      <w:r>
        <w:rPr>
          <w:rFonts w:hint="eastAsia" w:ascii="仿宋" w:hAnsi="仿宋" w:eastAsia="仿宋"/>
          <w:sz w:val="30"/>
          <w:szCs w:val="30"/>
        </w:rPr>
        <w:t>建立健全全局全过程预算绩效管理机制，完善管理制度；</w:t>
      </w:r>
    </w:p>
    <w:p>
      <w:pPr>
        <w:pStyle w:val="12"/>
        <w:keepNext w:val="0"/>
        <w:keepLines w:val="0"/>
        <w:pageBreakBefore w:val="0"/>
        <w:widowControl w:val="0"/>
        <w:numPr>
          <w:ilvl w:val="0"/>
          <w:numId w:val="2"/>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sz w:val="30"/>
          <w:szCs w:val="30"/>
        </w:rPr>
      </w:pPr>
      <w:r>
        <w:rPr>
          <w:rFonts w:hint="eastAsia" w:ascii="仿宋" w:hAnsi="仿宋" w:eastAsia="仿宋"/>
          <w:sz w:val="30"/>
          <w:szCs w:val="30"/>
        </w:rPr>
        <w:t>各项目执行股、站、室负责本股、站、室项目支出绩效自评工作，完成项目支出绩效自评表及自评报告，填写项目年度目标完成情况及差异原因分析，存在问题及整改情况，主要经验及做法等；</w:t>
      </w:r>
    </w:p>
    <w:p>
      <w:pPr>
        <w:pStyle w:val="12"/>
        <w:keepNext w:val="0"/>
        <w:keepLines w:val="0"/>
        <w:pageBreakBefore w:val="0"/>
        <w:widowControl w:val="0"/>
        <w:numPr>
          <w:ilvl w:val="0"/>
          <w:numId w:val="2"/>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sz w:val="30"/>
          <w:szCs w:val="30"/>
        </w:rPr>
      </w:pPr>
      <w:r>
        <w:rPr>
          <w:rFonts w:hint="eastAsia" w:ascii="仿宋" w:hAnsi="仿宋" w:eastAsia="仿宋"/>
          <w:sz w:val="30"/>
          <w:szCs w:val="30"/>
        </w:rPr>
        <w:t>本部门预算绩效管理考核领导小组对各股、站、室填报的项目自评内容进行考核，综合分析并形成最终结论；</w:t>
      </w:r>
    </w:p>
    <w:p>
      <w:pPr>
        <w:pStyle w:val="12"/>
        <w:keepNext w:val="0"/>
        <w:keepLines w:val="0"/>
        <w:pageBreakBefore w:val="0"/>
        <w:widowControl w:val="0"/>
        <w:numPr>
          <w:ilvl w:val="0"/>
          <w:numId w:val="2"/>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sz w:val="30"/>
          <w:szCs w:val="30"/>
        </w:rPr>
      </w:pPr>
      <w:r>
        <w:rPr>
          <w:rFonts w:hint="eastAsia" w:ascii="仿宋" w:hAnsi="仿宋" w:eastAsia="仿宋"/>
          <w:sz w:val="30"/>
          <w:szCs w:val="30"/>
        </w:rPr>
        <w:t>局办公室财务负责汇总绩效评价结果上报财政部门；</w:t>
      </w:r>
    </w:p>
    <w:p>
      <w:pPr>
        <w:pStyle w:val="12"/>
        <w:keepNext w:val="0"/>
        <w:keepLines w:val="0"/>
        <w:pageBreakBefore w:val="0"/>
        <w:widowControl w:val="0"/>
        <w:numPr>
          <w:ilvl w:val="0"/>
          <w:numId w:val="2"/>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sz w:val="30"/>
          <w:szCs w:val="30"/>
        </w:rPr>
      </w:pPr>
      <w:r>
        <w:rPr>
          <w:rFonts w:hint="eastAsia" w:ascii="仿宋" w:hAnsi="仿宋" w:eastAsia="仿宋"/>
          <w:sz w:val="30"/>
          <w:szCs w:val="30"/>
        </w:rPr>
        <w:t>根据评价结果对存在问题进行整改，并按要求向财政部门或主管部门报送整改落实情况，提高资金使用效益 ；</w:t>
      </w:r>
    </w:p>
    <w:p>
      <w:pPr>
        <w:pStyle w:val="12"/>
        <w:keepNext w:val="0"/>
        <w:keepLines w:val="0"/>
        <w:pageBreakBefore w:val="0"/>
        <w:widowControl w:val="0"/>
        <w:numPr>
          <w:ilvl w:val="0"/>
          <w:numId w:val="2"/>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sz w:val="30"/>
          <w:szCs w:val="30"/>
        </w:rPr>
      </w:pPr>
      <w:r>
        <w:rPr>
          <w:rFonts w:hint="eastAsia" w:ascii="仿宋" w:hAnsi="仿宋" w:eastAsia="仿宋"/>
          <w:sz w:val="30"/>
          <w:szCs w:val="30"/>
        </w:rPr>
        <w:t>建立绩效评价档案。</w:t>
      </w:r>
    </w:p>
    <w:p>
      <w:pPr>
        <w:pStyle w:val="12"/>
        <w:keepNext w:val="0"/>
        <w:keepLines w:val="0"/>
        <w:pageBreakBefore w:val="0"/>
        <w:widowControl w:val="0"/>
        <w:numPr>
          <w:ilvl w:val="0"/>
          <w:numId w:val="3"/>
        </w:numPr>
        <w:kinsoku/>
        <w:wordWrap/>
        <w:overflowPunct/>
        <w:topLinePunct w:val="0"/>
        <w:autoSpaceDE/>
        <w:autoSpaceDN/>
        <w:bidi w:val="0"/>
        <w:snapToGrid/>
        <w:spacing w:before="0" w:after="0" w:line="360" w:lineRule="auto"/>
        <w:ind w:left="600" w:leftChars="0" w:right="0" w:rightChars="0" w:firstLine="0" w:firstLineChars="0"/>
        <w:jc w:val="both"/>
        <w:rPr>
          <w:rFonts w:hint="eastAsia" w:ascii="仿宋" w:hAnsi="仿宋" w:eastAsia="仿宋"/>
          <w:sz w:val="30"/>
          <w:szCs w:val="30"/>
          <w:lang w:val="en-US" w:eastAsia="zh-CN"/>
        </w:rPr>
      </w:pPr>
      <w:r>
        <w:rPr>
          <w:rFonts w:hint="eastAsia" w:ascii="仿宋" w:hAnsi="仿宋" w:eastAsia="仿宋"/>
          <w:sz w:val="30"/>
          <w:szCs w:val="30"/>
          <w:lang w:val="en-US" w:eastAsia="zh-CN"/>
        </w:rPr>
        <w:t>评价情况分析及综合评价结论</w:t>
      </w:r>
    </w:p>
    <w:p>
      <w:pPr>
        <w:pStyle w:val="12"/>
        <w:keepNext w:val="0"/>
        <w:keepLines w:val="0"/>
        <w:pageBreakBefore w:val="0"/>
        <w:widowControl w:val="0"/>
        <w:numPr>
          <w:ilvl w:val="0"/>
          <w:numId w:val="0"/>
        </w:numPr>
        <w:kinsoku/>
        <w:wordWrap/>
        <w:overflowPunct/>
        <w:topLinePunct w:val="0"/>
        <w:autoSpaceDE/>
        <w:autoSpaceDN/>
        <w:bidi w:val="0"/>
        <w:snapToGrid/>
        <w:spacing w:before="0" w:after="0" w:line="360" w:lineRule="auto"/>
        <w:ind w:right="0" w:rightChars="0" w:firstLine="600" w:firstLineChars="200"/>
        <w:jc w:val="both"/>
        <w:rPr>
          <w:rFonts w:hint="default" w:ascii="仿宋" w:hAnsi="仿宋" w:eastAsia="仿宋"/>
          <w:sz w:val="30"/>
          <w:szCs w:val="30"/>
          <w:lang w:val="en-US" w:eastAsia="zh-CN"/>
        </w:rPr>
      </w:pPr>
      <w:r>
        <w:rPr>
          <w:rFonts w:hint="default" w:ascii="仿宋" w:hAnsi="仿宋" w:eastAsia="仿宋"/>
          <w:sz w:val="30"/>
          <w:szCs w:val="30"/>
          <w:lang w:val="en-US" w:eastAsia="zh-CN"/>
        </w:rPr>
        <w:t>通过对2024年度林草项目的目的、执行过程、效益、作用和影响进行系统的、客观的前后评估数据的对比分析，我局2024年度各项目的绩效目标大部分均已完成，大部分项目自评结果为优，绩效指标未完成的项目主要原因是财政未拨款，项目无法实施，未能产生预期绩效。</w:t>
      </w:r>
    </w:p>
    <w:p>
      <w:pPr>
        <w:pStyle w:val="12"/>
        <w:keepNext w:val="0"/>
        <w:keepLines w:val="0"/>
        <w:pageBreakBefore w:val="0"/>
        <w:widowControl w:val="0"/>
        <w:numPr>
          <w:ilvl w:val="0"/>
          <w:numId w:val="0"/>
        </w:numPr>
        <w:kinsoku/>
        <w:wordWrap/>
        <w:overflowPunct/>
        <w:topLinePunct w:val="0"/>
        <w:autoSpaceDE/>
        <w:autoSpaceDN/>
        <w:bidi w:val="0"/>
        <w:snapToGrid/>
        <w:spacing w:before="0" w:after="0" w:line="360" w:lineRule="auto"/>
        <w:ind w:right="0" w:rightChars="0" w:firstLine="600" w:firstLineChars="200"/>
        <w:jc w:val="both"/>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（三）</w:t>
      </w:r>
      <w:r>
        <w:rPr>
          <w:rFonts w:hint="eastAsia" w:ascii="仿宋" w:hAnsi="仿宋" w:eastAsia="仿宋"/>
          <w:b w:val="0"/>
          <w:bCs w:val="0"/>
          <w:sz w:val="30"/>
          <w:szCs w:val="30"/>
        </w:rPr>
        <w:t>部门决算中项目支出自评结果 </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项目一：华宁县2023年县级机关义务植树项目资金</w:t>
      </w:r>
      <w:r>
        <w:rPr>
          <w:rFonts w:hint="eastAsia" w:ascii="仿宋" w:hAnsi="仿宋" w:eastAsia="仿宋" w:cs="仿宋"/>
          <w:sz w:val="30"/>
          <w:szCs w:val="30"/>
          <w:highlight w:val="none"/>
          <w:lang w:val="en-US" w:eastAsia="zh-CN"/>
        </w:rPr>
        <w:t>43,140.00</w:t>
      </w:r>
      <w:r>
        <w:rPr>
          <w:rFonts w:hint="eastAsia" w:ascii="仿宋" w:hAnsi="仿宋" w:eastAsia="仿宋" w:cs="仿宋"/>
          <w:sz w:val="30"/>
          <w:szCs w:val="30"/>
          <w:highlight w:val="none"/>
        </w:rPr>
        <w:t>元，主要用于完成60</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highlight w:val="none"/>
        </w:rPr>
        <w:t>亩的植苗造林，树种为云南松、旱冬瓜，经过验收，苗木的保存率达95.6</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%，面积合格率100</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。项目自评等级为优。</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highlight w:val="none"/>
        </w:rPr>
        <w:t>项目</w:t>
      </w: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丧葬费及死亡一次性抚恤金</w:t>
      </w:r>
      <w:r>
        <w:rPr>
          <w:rFonts w:hint="eastAsia" w:ascii="仿宋" w:hAnsi="仿宋" w:eastAsia="仿宋" w:cs="仿宋"/>
          <w:sz w:val="30"/>
          <w:szCs w:val="30"/>
          <w:highlight w:val="none"/>
          <w:lang w:val="en-US" w:eastAsia="zh-CN"/>
        </w:rPr>
        <w:t>271,965.40</w:t>
      </w:r>
      <w:r>
        <w:rPr>
          <w:rFonts w:hint="eastAsia" w:ascii="仿宋" w:hAnsi="仿宋" w:eastAsia="仿宋" w:cs="仿宋"/>
          <w:sz w:val="30"/>
          <w:szCs w:val="30"/>
          <w:highlight w:val="none"/>
        </w:rPr>
        <w:t>元，主要用于发放退休人员丧葬费及死亡一次性抚恤金</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2024共发放</w:t>
      </w:r>
      <w:r>
        <w:rPr>
          <w:rFonts w:hint="eastAsia" w:ascii="仿宋" w:hAnsi="仿宋" w:eastAsia="仿宋" w:cs="仿宋"/>
          <w:sz w:val="30"/>
          <w:szCs w:val="30"/>
          <w:highlight w:val="none"/>
        </w:rPr>
        <w:t>退休人员丧葬费及死亡一次性抚恤金</w:t>
      </w:r>
      <w:r>
        <w:rPr>
          <w:rFonts w:hint="eastAsia" w:ascii="仿宋" w:hAnsi="仿宋" w:eastAsia="仿宋" w:cs="仿宋"/>
          <w:sz w:val="30"/>
          <w:szCs w:val="30"/>
          <w:highlight w:val="none"/>
          <w:lang w:val="en-US" w:eastAsia="zh-CN"/>
        </w:rPr>
        <w:t>271,965.40元，</w:t>
      </w:r>
      <w:r>
        <w:rPr>
          <w:rFonts w:hint="eastAsia" w:ascii="仿宋" w:hAnsi="仿宋" w:eastAsia="仿宋" w:cs="仿宋"/>
          <w:b w:val="0"/>
          <w:bCs w:val="0"/>
          <w:sz w:val="30"/>
          <w:szCs w:val="30"/>
          <w:lang w:val="en-US" w:eastAsia="zh-CN"/>
        </w:rPr>
        <w:t>切实减轻了受助家庭的经济负担。</w:t>
      </w:r>
      <w:r>
        <w:rPr>
          <w:rFonts w:hint="eastAsia" w:ascii="仿宋" w:hAnsi="仿宋" w:eastAsia="仿宋" w:cs="仿宋"/>
          <w:sz w:val="30"/>
          <w:szCs w:val="30"/>
          <w:highlight w:val="none"/>
          <w:lang w:eastAsia="zh-CN"/>
        </w:rPr>
        <w:t>项目自评等级为优。</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三：县级森林防火专项经费127,992.46元，主要用于保障华宁县森林防火工作正常开展，完善森林防火基础设施建设，加大宣传,严管火源,加强卡点建设,完善瞭望台修缮和森林防火指挥系统维护及森林防火车辆运行维护租用。通过每年森林防火专项经费的投入，加强森林防火预防和扑救、应急体系和华宁县森林消防队伍建设，全面提升森林火灾的综合防控能力，有力地保护森林资源和人民群众的生命财产安全。</w:t>
      </w:r>
      <w:r>
        <w:rPr>
          <w:rFonts w:hint="eastAsia" w:ascii="仿宋" w:hAnsi="仿宋" w:eastAsia="仿宋" w:cs="仿宋"/>
          <w:sz w:val="30"/>
          <w:szCs w:val="30"/>
          <w:highlight w:val="none"/>
          <w:lang w:eastAsia="zh-CN"/>
        </w:rPr>
        <w:t>项目自评等级为优。</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项目四：业务工作经费195,800.00元，主要用于发放防火后勤人员劳务费，防火车辆加油，乡镇工作经费及驻村人员驻村补贴等，用于维持部门正常运转的公用经费保障，支持部门正常履职。</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项目五：遗属生活补助经费46,663.00元</w:t>
      </w:r>
      <w:r>
        <w:rPr>
          <w:rFonts w:hint="eastAsia" w:ascii="仿宋" w:hAnsi="仿宋" w:eastAsia="仿宋" w:cs="仿宋"/>
          <w:sz w:val="30"/>
          <w:szCs w:val="30"/>
          <w:highlight w:val="none"/>
        </w:rPr>
        <w:t>，主要用于</w:t>
      </w:r>
      <w:r>
        <w:rPr>
          <w:rFonts w:hint="eastAsia" w:ascii="仿宋" w:hAnsi="仿宋" w:eastAsia="仿宋" w:cs="仿宋"/>
          <w:sz w:val="30"/>
          <w:szCs w:val="30"/>
          <w:highlight w:val="none"/>
          <w:lang w:eastAsia="zh-CN"/>
        </w:rPr>
        <w:t>发放</w:t>
      </w:r>
      <w:r>
        <w:rPr>
          <w:rFonts w:hint="eastAsia" w:ascii="仿宋" w:hAnsi="仿宋" w:eastAsia="仿宋" w:cs="仿宋"/>
          <w:sz w:val="30"/>
          <w:szCs w:val="30"/>
          <w:highlight w:val="none"/>
          <w:lang w:val="en-US" w:eastAsia="zh-CN"/>
        </w:rPr>
        <w:t>遗属人员的生活补助，遗属补助作为一项社会福利政策，有助于保障社会稳定和家庭和睦，保证遗属补助经费正常发放是保证社会稳定的重要环节，通过提供遗属补助生活经费，可以保证职工遗属基本生活条件，提高社会保障水平。</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项目六：2022年中央财政林业改革发展资金（造林补助）50,000.00元，主要用于对低效林的1.00万亩核桃树进行施肥、涂白、整形修剪，达到改造技术要求，项目已完工并已通过验收。</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七：2022年中央森林生态效益补助资金2,437,233.41元，主要用于对全县34.54万亩的国家级公益林进行管护，及时把补偿金兑付到补偿对象及管护人员手中。2024年通过一卡通平台发放2022年国家级森林生态效益补偿费901,233.41元和国家级天然商品林停伐管护补偿费1,536,000.00元。</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八：2021年第三批省级森林植被恢复费将军山林草管护站建设经费35,000.00元，主要用于通红甸彝族苗族乡将军山林草管护所建设，该项目于2020年9月启动建设，2021年1月完工验收合格，建成管护所一座，面积191.36平方米，通过在将军山林区建设管护所，可以有效实施对将军山林区野生小叶黄杨的保护，对区域生物多样性保护具有重要的意义。</w:t>
      </w:r>
      <w:r>
        <w:rPr>
          <w:rFonts w:hint="eastAsia" w:ascii="仿宋" w:hAnsi="仿宋" w:eastAsia="仿宋" w:cs="仿宋"/>
          <w:sz w:val="30"/>
          <w:szCs w:val="30"/>
          <w:highlight w:val="none"/>
          <w:lang w:eastAsia="zh-CN"/>
        </w:rPr>
        <w:t>项目自评等级为良。</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九：2022年省级森林生态效益补助资金1,176,000.00元，主要用于省级公益林实施管护，按照“管好公益林，用好补偿金”的总体要求，对全县14.00万亩的省级公益林林权所有者进行补偿并进行管护，及时把补偿资金兑现到补偿对象手中及管护人员手中。2024年通过一卡通平台发放华宁县2022年省级森林生态效益补偿费1,176,000.00元。</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2022年第四批中央财政林业草原生态保护恢复资金1,752,470.00元，主要用于进一步完善新一轮退耕还林还草政策措施，巩固新一轮已有退耕成果，持续发挥生态效益，确保退耕农户利益。2024年通过一卡通平台发放华宁县新一轮退耕还林补助资金1,752,470.00元。</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一：2022年新一轮退耕还林还草延长期补助资金2,868,114.00元，主要用于进一步完善新一轮退耕还林还草政策措施，巩固新一轮已有退耕成果，持续发挥生态效益，确保退耕农户利益。2024年通过一卡通平台发放华宁县新一轮退耕还林补助资金2,868,114.00元。</w:t>
      </w:r>
      <w:r>
        <w:rPr>
          <w:rFonts w:hint="eastAsia" w:ascii="仿宋" w:hAnsi="仿宋" w:eastAsia="仿宋" w:cs="仿宋"/>
          <w:sz w:val="30"/>
          <w:szCs w:val="30"/>
          <w:highlight w:val="none"/>
          <w:lang w:eastAsia="zh-CN"/>
        </w:rPr>
        <w:t>项目自评等级为良。</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二：2023年省级森林防火经费97,000.00元，主要用于保障华宁县森林防火工作正常开展，完善森林防火基础设施建设，加大宣传,严管火源,加强卡点建设,完善瞭望台修缮和森林防火指挥系统维护及森林防火车辆运行维护租用。通过每年森林防火专项经费的投入，加强森林防火预防和扑救、应急体系和华宁县森林消防队伍建设，全面提升森林火灾的综合防控能力，有力地保护森林资源和人民群众的生命财产安全。</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三：2023年中央财政林草专项转移支付直达资金15,168.00元，主要用于深入推进华宁县国土绿化行动，开展退耕还林还草和草原生态修复治理、增加造林面积、提升森林质量；强化非国有林生态保护补偿；加强森林草原防火、林业草原有害生物防治。2024年通过一卡通平台发放新一轮退耕还林补助资金15,168.00元。</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四：2024年省级森林防火经费90,000.00元，主要用于保障华宁县森林防火工作正常开展，完善森林防火基础设施建设，加大宣传,严管火源,加强卡点建设,完善瞭望台修缮和森林防火指挥系统维护及森林防火车辆运行维护租用。通过每年森林防火专项经费的投入，加强森林防火预防和扑救、应急体系和华宁县森林消防队伍建设，全面提升森林火灾的综合防控能力，有力地保护森林资源和人民群众的生命财产安全。</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五：2023年天保工程及森林生态效益补偿资金509,408.00元，按照“管好公益林，用好补偿金”的总体要求，对全县14.00万亩的省级公益林林实施管护，2024年拨付到各乡镇公益林管护费509,408.00元用于发放护林员工资，完成华宁县2024年度生态护林员聘用与培训工作，新开发设置农村公益性岗位护林员岗位29个。</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六：2024年中央财政林业草原改革发展直达资金4,950,000.00元，主要用于进一步完善新一轮退耕还林还草政策措施，巩固新一轮已有退耕成果，持续发挥生态效益，确保退耕农户利益。2024年通过一卡通平台发放华宁县新一轮退耕还林补助资金4,950,000.00元。</w:t>
      </w:r>
      <w:r>
        <w:rPr>
          <w:rFonts w:hint="eastAsia" w:ascii="仿宋" w:hAnsi="仿宋" w:eastAsia="仿宋" w:cs="仿宋"/>
          <w:sz w:val="30"/>
          <w:szCs w:val="30"/>
          <w:highlight w:val="none"/>
          <w:lang w:eastAsia="zh-CN"/>
        </w:rPr>
        <w:t>项目自评等级为优。</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十七：2024年中央财政林业草原生态保护恢复资金200,000.00元，主要用于提高珍稀濒危野生植物保护能力，生物多样性明显增加；森林资源从恢复性增长进一步向提高质量转变，林区经济社会发展由稳步复苏向进一步和谐发展转变，确保林区社会和谐稳定。华宁县2024年蓑衣油杉极小种群保护项目已完工验收，聘请巡护监测人员3人，巡护时间1年，制作安装宣传标示牌2块，购置巡护装备1套，培育云南油杉袋苗2,000.00株，完成第一轮施肥、病虫害防治等人工抚育。</w:t>
      </w:r>
      <w:r>
        <w:rPr>
          <w:rFonts w:hint="eastAsia" w:ascii="仿宋" w:hAnsi="仿宋" w:eastAsia="仿宋" w:cs="仿宋"/>
          <w:sz w:val="30"/>
          <w:szCs w:val="30"/>
          <w:highlight w:val="none"/>
          <w:lang w:eastAsia="zh-CN"/>
        </w:rPr>
        <w:t>项目自评等级为良。</w:t>
      </w:r>
    </w:p>
    <w:p>
      <w:pPr>
        <w:widowControl/>
        <w:snapToGrid w:val="0"/>
        <w:spacing w:before="100" w:after="100" w:line="600" w:lineRule="exact"/>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项目十八：增发2023年国债森林草原防火阻隔系统项目地方配套资金485,899.00元，主要用于云南省玉溪市森林火灾高风险区森林防火应急道路建设项目，涉及华宁县新建森林防火应急道路5条，项目已完工，通过实施森林防火应急道路建设和生物防火阻隔带建设项目，提高项目区森林防火路网密度，重点解决玉溪市重要区域森林防火巡护监测和火灾应急扑救通达问题，整体提升玉溪市国有林场森林火险防控能力。</w:t>
      </w:r>
      <w:r>
        <w:rPr>
          <w:rFonts w:hint="eastAsia" w:ascii="仿宋" w:hAnsi="仿宋" w:eastAsia="仿宋" w:cs="仿宋"/>
          <w:sz w:val="30"/>
          <w:szCs w:val="30"/>
          <w:highlight w:val="none"/>
          <w:lang w:eastAsia="zh-CN"/>
        </w:rPr>
        <w:t>项目自评等级为优。</w:t>
      </w:r>
    </w:p>
    <w:p>
      <w:pPr>
        <w:widowControl/>
        <w:snapToGrid w:val="0"/>
        <w:spacing w:before="100" w:after="100" w:line="360" w:lineRule="auto"/>
        <w:ind w:firstLine="600" w:firstLineChars="200"/>
        <w:jc w:val="both"/>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spacing w:line="590" w:lineRule="exact"/>
        <w:ind w:firstLine="600"/>
        <w:jc w:val="both"/>
        <w:rPr>
          <w:rFonts w:hint="eastAsia" w:ascii="仿宋" w:hAnsi="仿宋" w:eastAsia="仿宋"/>
          <w:color w:val="000000"/>
          <w:sz w:val="30"/>
          <w:lang w:val="en-US" w:eastAsia="zh-CN"/>
        </w:rPr>
      </w:pPr>
      <w:r>
        <w:rPr>
          <w:rFonts w:hint="eastAsia" w:ascii="仿宋" w:hAnsi="仿宋" w:eastAsia="仿宋"/>
          <w:color w:val="000000"/>
          <w:sz w:val="30"/>
          <w:lang w:val="en-US" w:eastAsia="zh-CN"/>
        </w:rPr>
        <w:t>本单位无其他重要事项情况说明。</w:t>
      </w:r>
    </w:p>
    <w:p>
      <w:pPr>
        <w:widowControl/>
        <w:snapToGrid w:val="0"/>
        <w:spacing w:before="100" w:after="100" w:line="360" w:lineRule="auto"/>
        <w:ind w:firstLine="600" w:firstLineChars="200"/>
        <w:jc w:val="both"/>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pPr>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pPr>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keepLines/>
        <w:spacing w:line="360" w:lineRule="auto"/>
        <w:ind w:firstLine="600"/>
        <w:jc w:val="both"/>
        <w:rPr>
          <w:rFonts w:hint="eastAsia" w:ascii="仿宋" w:hAnsi="仿宋" w:eastAsia="仿宋"/>
          <w:color w:val="000000"/>
          <w:sz w:val="30"/>
          <w:highlight w:val="white"/>
          <w:lang w:val="en-US"/>
        </w:rPr>
      </w:pPr>
      <w:r>
        <w:rPr>
          <w:rFonts w:hint="eastAsia" w:ascii="仿宋" w:hAnsi="仿宋" w:eastAsia="仿宋"/>
          <w:color w:val="000000"/>
          <w:sz w:val="30"/>
          <w:highlight w:val="white"/>
          <w:lang w:val="en-US"/>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kinsoku/>
        <w:wordWrap/>
        <w:overflowPunct/>
        <w:topLinePunct w:val="0"/>
        <w:autoSpaceDE/>
        <w:autoSpaceDN/>
        <w:bidi w:val="0"/>
        <w:snapToGrid/>
        <w:spacing w:line="360" w:lineRule="auto"/>
        <w:ind w:firstLine="600" w:firstLineChars="200"/>
        <w:jc w:val="both"/>
        <w:rPr>
          <w:rFonts w:hint="eastAsia" w:ascii="仿宋" w:hAnsi="仿宋" w:eastAsia="仿宋"/>
          <w:sz w:val="30"/>
          <w:szCs w:val="30"/>
        </w:rPr>
      </w:pPr>
      <w:r>
        <w:rPr>
          <w:rFonts w:hint="eastAsia" w:ascii="仿宋" w:hAnsi="仿宋" w:eastAsia="仿宋"/>
          <w:sz w:val="30"/>
          <w:szCs w:val="30"/>
        </w:rPr>
        <w:t>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kinsoku/>
        <w:wordWrap/>
        <w:overflowPunct/>
        <w:topLinePunct w:val="0"/>
        <w:autoSpaceDE/>
        <w:autoSpaceDN/>
        <w:bidi w:val="0"/>
        <w:snapToGrid/>
        <w:spacing w:line="360" w:lineRule="auto"/>
        <w:ind w:firstLine="600" w:firstLineChars="200"/>
        <w:jc w:val="both"/>
        <w:rPr>
          <w:rFonts w:hint="eastAsia" w:ascii="仿宋" w:hAnsi="仿宋" w:eastAsia="仿宋"/>
          <w:sz w:val="30"/>
          <w:szCs w:val="30"/>
        </w:rPr>
      </w:pPr>
      <w:r>
        <w:rPr>
          <w:rFonts w:hint="eastAsia" w:ascii="仿宋" w:hAnsi="仿宋" w:eastAsia="仿宋"/>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kinsoku/>
        <w:wordWrap/>
        <w:overflowPunct/>
        <w:topLinePunct w:val="0"/>
        <w:autoSpaceDE/>
        <w:autoSpaceDN/>
        <w:bidi w:val="0"/>
        <w:snapToGrid/>
        <w:spacing w:line="360" w:lineRule="auto"/>
        <w:ind w:firstLine="600" w:firstLineChars="200"/>
        <w:jc w:val="both"/>
        <w:rPr>
          <w:rFonts w:hint="eastAsia" w:ascii="仿宋" w:hAnsi="仿宋" w:eastAsia="仿宋"/>
          <w:sz w:val="30"/>
          <w:szCs w:val="30"/>
        </w:rPr>
      </w:pPr>
      <w:r>
        <w:rPr>
          <w:rFonts w:hint="eastAsia" w:ascii="仿宋" w:hAnsi="仿宋" w:eastAsia="仿宋"/>
          <w:sz w:val="30"/>
          <w:szCs w:val="30"/>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highlight w:val="none"/>
        </w:rPr>
      </w:pPr>
    </w:p>
    <w:p>
      <w:pPr>
        <w:rPr>
          <w:rFonts w:ascii="Arial" w:hAnsi="Arial" w:eastAsia="Arial" w:cs="Arial"/>
          <w:b/>
          <w:sz w:val="36"/>
        </w:rPr>
      </w:pPr>
      <w:r>
        <w:rPr>
          <w:rFonts w:ascii="Arial" w:hAnsi="Arial" w:eastAsia="Arial" w:cs="Arial"/>
          <w:b/>
          <w:sz w:val="36"/>
        </w:rPr>
        <w:t>监督索引号53042400646800201111</w:t>
      </w:r>
      <w:bookmarkEnd w:id="0"/>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2F928"/>
    <w:multiLevelType w:val="singleLevel"/>
    <w:tmpl w:val="B202F928"/>
    <w:lvl w:ilvl="0" w:tentative="0">
      <w:start w:val="2"/>
      <w:numFmt w:val="chineseCounting"/>
      <w:suff w:val="nothing"/>
      <w:lvlText w:val="（%1）"/>
      <w:lvlJc w:val="left"/>
      <w:pPr>
        <w:ind w:left="600" w:leftChars="0" w:firstLine="0" w:firstLineChars="0"/>
      </w:pPr>
      <w:rPr>
        <w:rFonts w:hint="eastAsia"/>
      </w:rPr>
    </w:lvl>
  </w:abstractNum>
  <w:abstractNum w:abstractNumId="1">
    <w:nsid w:val="0053208E"/>
    <w:multiLevelType w:val="singleLevel"/>
    <w:tmpl w:val="0053208E"/>
    <w:lvl w:ilvl="0" w:tentative="0">
      <w:start w:val="4"/>
      <w:numFmt w:val="chineseCounting"/>
      <w:suff w:val="nothing"/>
      <w:lvlText w:val="%1、"/>
      <w:lvlJc w:val="left"/>
      <w:rPr>
        <w:rFonts w:hint="eastAsia"/>
      </w:rPr>
    </w:lvl>
  </w:abstractNum>
  <w:abstractNum w:abstractNumId="2">
    <w:nsid w:val="67F68EB2"/>
    <w:multiLevelType w:val="singleLevel"/>
    <w:tmpl w:val="67F68EB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YTlkMGVlNzA3YzUyMTFhZTMwNWFmYmMyZmM5MzgifQ=="/>
  </w:docVars>
  <w:rsids>
    <w:rsidRoot w:val="00000000"/>
    <w:rsid w:val="06976AC0"/>
    <w:rsid w:val="0D9378B6"/>
    <w:rsid w:val="113D4105"/>
    <w:rsid w:val="15ED4309"/>
    <w:rsid w:val="1FD140D3"/>
    <w:rsid w:val="3B7C5744"/>
    <w:rsid w:val="3D6D0D8B"/>
    <w:rsid w:val="3EF645E7"/>
    <w:rsid w:val="41BA43FA"/>
    <w:rsid w:val="481F68B6"/>
    <w:rsid w:val="50F11EF6"/>
    <w:rsid w:val="52C219A5"/>
    <w:rsid w:val="582C1266"/>
    <w:rsid w:val="5BB64468"/>
    <w:rsid w:val="652029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eastAsia="方正黑体_GBK"/>
      <w:kern w:val="44"/>
      <w:sz w:val="32"/>
    </w:rPr>
  </w:style>
  <w:style w:type="paragraph" w:styleId="3">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p_MsoNormal"/>
    <w:basedOn w:val="1"/>
    <w:qFormat/>
    <w:uiPriority w:val="0"/>
    <w:pPr>
      <w:jc w:val="left"/>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72e00-200d-4d64-a0b2-23642199acd5}">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28</Pages>
  <Words>9363</Words>
  <Characters>10876</Characters>
  <Lines>0</Lines>
  <Paragraphs>0</Paragraphs>
  <TotalTime>24</TotalTime>
  <ScaleCrop>false</ScaleCrop>
  <LinksUpToDate>false</LinksUpToDate>
  <CharactersWithSpaces>10925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李玲</cp:lastModifiedBy>
  <cp:lastPrinted>2024-07-30T06:24:00Z</cp:lastPrinted>
  <dcterms:modified xsi:type="dcterms:W3CDTF">2025-09-16T07:05:19Z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34FA481B937A4C789AC3008126987A58_13</vt:lpwstr>
  </property>
  <property fmtid="{D5CDD505-2E9C-101B-9397-08002B2CF9AE}" pid="3" name="KSOProductBuildVer">
    <vt:lpwstr>2052-12.1.0.15336</vt:lpwstr>
  </property>
  <property fmtid="{D5CDD505-2E9C-101B-9397-08002B2CF9AE}" pid="4" name="KSOTemplateDocerSaveRecord">
    <vt:lpwstr>eyJoZGlkIjoiMTY2MzJjNzBlZGRjMDk4ZjBiZTQxNDhjOTMyMjQyOTUifQ==</vt:lpwstr>
  </property>
</Properties>
</file>